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6BF" w:rsidRPr="00365BD6" w:rsidRDefault="009136BF" w:rsidP="009136BF">
      <w:pPr>
        <w:pStyle w:val="a5"/>
        <w:ind w:left="5664"/>
        <w:jc w:val="both"/>
        <w:rPr>
          <w:rFonts w:ascii="Times New Roman" w:hAnsi="Times New Roman" w:cs="Times New Roman"/>
          <w:sz w:val="24"/>
          <w:szCs w:val="24"/>
          <w:lang w:val="ky-KG" w:eastAsia="ru-RU"/>
        </w:rPr>
      </w:pPr>
      <w:r w:rsidRPr="00365BD6">
        <w:rPr>
          <w:rFonts w:ascii="Times New Roman" w:hAnsi="Times New Roman" w:cs="Times New Roman"/>
          <w:sz w:val="24"/>
          <w:szCs w:val="24"/>
          <w:lang w:val="ky-KG" w:eastAsia="ru-RU"/>
        </w:rPr>
        <w:t xml:space="preserve">Кыргыз Республикасынын </w:t>
      </w:r>
      <w:r w:rsidR="008332A8" w:rsidRPr="00365BD6">
        <w:rPr>
          <w:rFonts w:ascii="Times New Roman" w:hAnsi="Times New Roman" w:cs="Times New Roman"/>
          <w:sz w:val="24"/>
          <w:szCs w:val="24"/>
          <w:lang w:val="ky-KG" w:eastAsia="ru-RU"/>
        </w:rPr>
        <w:br/>
      </w:r>
      <w:r w:rsidRPr="00365BD6">
        <w:rPr>
          <w:rFonts w:ascii="Times New Roman" w:hAnsi="Times New Roman" w:cs="Times New Roman"/>
          <w:sz w:val="24"/>
          <w:szCs w:val="24"/>
          <w:lang w:val="ky-KG" w:eastAsia="ru-RU"/>
        </w:rPr>
        <w:t>2021-2025-жылдарга карата электр энергиясына орто мөөнөттүү тарифтик саясатына 1-тиркеме</w:t>
      </w:r>
    </w:p>
    <w:p w:rsidR="009136BF" w:rsidRPr="00365BD6" w:rsidRDefault="008332A8" w:rsidP="00202F45">
      <w:pPr>
        <w:pStyle w:val="tkNazvanie"/>
        <w:rPr>
          <w:rFonts w:ascii="Times New Roman" w:hAnsi="Times New Roman" w:cs="Times New Roman"/>
          <w:sz w:val="28"/>
          <w:szCs w:val="28"/>
          <w:lang w:val="ky-KG"/>
        </w:rPr>
      </w:pPr>
      <w:r w:rsidRPr="00365BD6">
        <w:rPr>
          <w:rFonts w:ascii="Times New Roman" w:hAnsi="Times New Roman" w:cs="Times New Roman"/>
          <w:sz w:val="28"/>
          <w:szCs w:val="28"/>
          <w:lang w:val="ky-KG"/>
        </w:rPr>
        <w:t xml:space="preserve">Акыркы керектөөчүлөр үчүн электр энергиясына </w:t>
      </w:r>
      <w:r w:rsidR="002255A2" w:rsidRPr="00365BD6">
        <w:rPr>
          <w:rFonts w:ascii="Times New Roman" w:hAnsi="Times New Roman" w:cs="Times New Roman"/>
          <w:sz w:val="28"/>
          <w:szCs w:val="28"/>
          <w:lang w:val="ky-KG"/>
        </w:rPr>
        <w:t xml:space="preserve">(Жалал-Абад облусунун Токтогул районундагы </w:t>
      </w:r>
      <w:r w:rsidRPr="00365BD6">
        <w:rPr>
          <w:rFonts w:ascii="Times New Roman" w:hAnsi="Times New Roman" w:cs="Times New Roman"/>
          <w:sz w:val="28"/>
          <w:szCs w:val="28"/>
          <w:lang w:val="ky-KG"/>
        </w:rPr>
        <w:t>“</w:t>
      </w:r>
      <w:r w:rsidR="002255A2" w:rsidRPr="00365BD6">
        <w:rPr>
          <w:rFonts w:ascii="Times New Roman" w:hAnsi="Times New Roman" w:cs="Times New Roman"/>
          <w:sz w:val="28"/>
          <w:szCs w:val="28"/>
          <w:lang w:val="ky-KG"/>
        </w:rPr>
        <w:t>Калк</w:t>
      </w:r>
      <w:r w:rsidRPr="00365BD6">
        <w:rPr>
          <w:rFonts w:ascii="Times New Roman" w:hAnsi="Times New Roman" w:cs="Times New Roman"/>
          <w:sz w:val="28"/>
          <w:szCs w:val="28"/>
          <w:lang w:val="ky-KG"/>
        </w:rPr>
        <w:t>” жана “</w:t>
      </w:r>
      <w:r w:rsidR="002255A2" w:rsidRPr="00365BD6">
        <w:rPr>
          <w:rFonts w:ascii="Times New Roman" w:hAnsi="Times New Roman" w:cs="Times New Roman"/>
          <w:sz w:val="28"/>
          <w:szCs w:val="28"/>
          <w:lang w:val="ky-KG"/>
        </w:rPr>
        <w:t>Насостук станциялар</w:t>
      </w:r>
      <w:r w:rsidRPr="00365BD6">
        <w:rPr>
          <w:rFonts w:ascii="Times New Roman" w:hAnsi="Times New Roman" w:cs="Times New Roman"/>
          <w:sz w:val="28"/>
          <w:szCs w:val="28"/>
          <w:lang w:val="ky-KG"/>
        </w:rPr>
        <w:t>”</w:t>
      </w:r>
      <w:r w:rsidR="002255A2" w:rsidRPr="00365BD6">
        <w:rPr>
          <w:rFonts w:ascii="Times New Roman" w:hAnsi="Times New Roman" w:cs="Times New Roman"/>
          <w:sz w:val="28"/>
          <w:szCs w:val="28"/>
          <w:lang w:val="ky-KG"/>
        </w:rPr>
        <w:t xml:space="preserve"> керектөө</w:t>
      </w:r>
      <w:r w:rsidRPr="00365BD6">
        <w:rPr>
          <w:rFonts w:ascii="Times New Roman" w:hAnsi="Times New Roman" w:cs="Times New Roman"/>
          <w:sz w:val="28"/>
          <w:szCs w:val="28"/>
          <w:lang w:val="ky-KG"/>
        </w:rPr>
        <w:t>чүлөр</w:t>
      </w:r>
      <w:r w:rsidR="002255A2" w:rsidRPr="00365BD6">
        <w:rPr>
          <w:rFonts w:ascii="Times New Roman" w:hAnsi="Times New Roman" w:cs="Times New Roman"/>
          <w:sz w:val="28"/>
          <w:szCs w:val="28"/>
          <w:lang w:val="ky-KG"/>
        </w:rPr>
        <w:t xml:space="preserve"> топторун</w:t>
      </w:r>
      <w:r w:rsidRPr="00365BD6">
        <w:rPr>
          <w:rFonts w:ascii="Times New Roman" w:hAnsi="Times New Roman" w:cs="Times New Roman"/>
          <w:sz w:val="28"/>
          <w:szCs w:val="28"/>
          <w:lang w:val="ky-KG"/>
        </w:rPr>
        <w:t>ан тышкары</w:t>
      </w:r>
      <w:r w:rsidR="002255A2" w:rsidRPr="00365BD6">
        <w:rPr>
          <w:rFonts w:ascii="Times New Roman" w:hAnsi="Times New Roman" w:cs="Times New Roman"/>
          <w:sz w:val="28"/>
          <w:szCs w:val="28"/>
          <w:lang w:val="ky-KG"/>
        </w:rPr>
        <w:t xml:space="preserve">) (салыктарды эске албаганда) </w:t>
      </w:r>
      <w:r w:rsidRPr="00365BD6">
        <w:rPr>
          <w:rFonts w:ascii="Times New Roman" w:hAnsi="Times New Roman" w:cs="Times New Roman"/>
          <w:sz w:val="28"/>
          <w:szCs w:val="28"/>
          <w:lang w:val="ky-KG"/>
        </w:rPr>
        <w:t>т</w:t>
      </w:r>
      <w:r w:rsidR="00202F45" w:rsidRPr="00365BD6">
        <w:rPr>
          <w:rFonts w:ascii="Times New Roman" w:hAnsi="Times New Roman" w:cs="Times New Roman"/>
          <w:sz w:val="28"/>
          <w:szCs w:val="28"/>
          <w:lang w:val="ky-KG"/>
        </w:rPr>
        <w:t>арифтер</w:t>
      </w:r>
    </w:p>
    <w:tbl>
      <w:tblPr>
        <w:tblW w:w="5000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8"/>
        <w:gridCol w:w="2512"/>
        <w:gridCol w:w="990"/>
        <w:gridCol w:w="951"/>
        <w:gridCol w:w="1108"/>
        <w:gridCol w:w="1048"/>
        <w:gridCol w:w="1048"/>
        <w:gridCol w:w="1039"/>
      </w:tblGrid>
      <w:tr w:rsidR="00365BD6" w:rsidRPr="00365BD6" w:rsidTr="00365BD6">
        <w:trPr>
          <w:trHeight w:val="291"/>
        </w:trPr>
        <w:tc>
          <w:tcPr>
            <w:tcW w:w="34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2255A2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Керектөөчүлөр</w:t>
            </w:r>
            <w:proofErr w:type="spellEnd"/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тобу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2255A2" w:rsidP="0045697F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Чен</w:t>
            </w:r>
            <w:proofErr w:type="spellEnd"/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бирди</w:t>
            </w:r>
            <w:proofErr w:type="spellEnd"/>
            <w:r w:rsidR="0045697F"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8332A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="002255A2"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-ж</w:t>
            </w:r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93" w:type="pct"/>
            <w:vAlign w:val="center"/>
          </w:tcPr>
          <w:p w:rsidR="009136BF" w:rsidRPr="00365BD6" w:rsidRDefault="002255A2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2022-ж</w:t>
            </w:r>
            <w:r w:rsidR="009136BF"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E4328D"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01.06.</w:t>
            </w:r>
          </w:p>
        </w:tc>
        <w:tc>
          <w:tcPr>
            <w:tcW w:w="561" w:type="pct"/>
            <w:vAlign w:val="center"/>
          </w:tcPr>
          <w:p w:rsidR="009136BF" w:rsidRPr="00365BD6" w:rsidRDefault="002255A2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2023-ж.</w:t>
            </w:r>
            <w:r w:rsidR="00E4328D"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01.06.</w:t>
            </w:r>
          </w:p>
        </w:tc>
        <w:tc>
          <w:tcPr>
            <w:tcW w:w="561" w:type="pct"/>
            <w:vAlign w:val="center"/>
          </w:tcPr>
          <w:p w:rsidR="009136BF" w:rsidRPr="00365BD6" w:rsidRDefault="009136BF" w:rsidP="00307C0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  <w:r w:rsidR="002255A2"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-ж</w:t>
            </w:r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E4328D"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01.06.</w:t>
            </w:r>
          </w:p>
        </w:tc>
        <w:tc>
          <w:tcPr>
            <w:tcW w:w="556" w:type="pct"/>
            <w:vAlign w:val="center"/>
          </w:tcPr>
          <w:p w:rsidR="009136BF" w:rsidRPr="00365BD6" w:rsidRDefault="009136BF" w:rsidP="00307C04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="002255A2"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-ж</w:t>
            </w:r>
            <w:r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E4328D" w:rsidRPr="00365BD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01.06.</w:t>
            </w:r>
          </w:p>
        </w:tc>
      </w:tr>
      <w:tr w:rsidR="00365BD6" w:rsidRPr="00365BD6" w:rsidTr="00365BD6">
        <w:trPr>
          <w:trHeight w:val="108"/>
        </w:trPr>
        <w:tc>
          <w:tcPr>
            <w:tcW w:w="34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2255A2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Калк</w:t>
            </w:r>
            <w:r w:rsidR="00964626"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64626" w:rsidRPr="00365BD6">
              <w:rPr>
                <w:rFonts w:ascii="Times New Roman" w:hAnsi="Times New Roman" w:cs="Times New Roman"/>
                <w:sz w:val="24"/>
                <w:szCs w:val="24"/>
              </w:rPr>
              <w:t>анын</w:t>
            </w:r>
            <w:proofErr w:type="spellEnd"/>
            <w:r w:rsidR="00964626"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964626" w:rsidRPr="00365BD6">
              <w:rPr>
                <w:rFonts w:ascii="Times New Roman" w:hAnsi="Times New Roman" w:cs="Times New Roman"/>
                <w:sz w:val="24"/>
                <w:szCs w:val="24"/>
              </w:rPr>
              <w:t>ичинде</w:t>
            </w:r>
            <w:proofErr w:type="spellEnd"/>
            <w:r w:rsidR="00964626" w:rsidRPr="00365B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3" w:type="pct"/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pct"/>
            <w:vAlign w:val="center"/>
          </w:tcPr>
          <w:p w:rsidR="009136BF" w:rsidRPr="00365BD6" w:rsidRDefault="009136BF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56" w:type="pct"/>
            <w:vAlign w:val="center"/>
          </w:tcPr>
          <w:p w:rsidR="009136BF" w:rsidRPr="00365BD6" w:rsidRDefault="009136BF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5BD6" w:rsidRPr="00365BD6" w:rsidTr="00365BD6">
        <w:trPr>
          <w:trHeight w:val="479"/>
        </w:trPr>
        <w:tc>
          <w:tcPr>
            <w:tcW w:w="34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64626" w:rsidP="002A7E3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Айына 700 кВт</w:t>
            </w:r>
            <w:r w:rsidR="0045697F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 чейин керектөө</w:t>
            </w:r>
            <w:r w:rsidR="008332A8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дө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(бийик тоолуу жана алыскы жетүүгө кыйын </w:t>
            </w:r>
            <w:r w:rsidR="00330F21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зоналарда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жашаган калкт</w:t>
            </w:r>
            <w:r w:rsidR="008332A8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ан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8332A8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тышкары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)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DA232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</w:t>
            </w:r>
            <w:r w:rsidR="00DA232E" w:rsidRPr="00365B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64626" w:rsidP="0096462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  <w:r w:rsidR="009136BF" w:rsidRPr="00365BD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93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58"/>
        </w:trPr>
        <w:tc>
          <w:tcPr>
            <w:tcW w:w="346" w:type="pct"/>
            <w:vMerge/>
            <w:vAlign w:val="center"/>
          </w:tcPr>
          <w:p w:rsidR="009136BF" w:rsidRPr="00365BD6" w:rsidRDefault="009136BF" w:rsidP="00EC6A8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A232E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64626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3" w:type="pct"/>
            <w:vAlign w:val="center"/>
          </w:tcPr>
          <w:p w:rsidR="009136BF" w:rsidRPr="00365BD6" w:rsidRDefault="008332A8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</w:t>
            </w:r>
            <w:r w:rsidR="008074C9" w:rsidRPr="00365BD6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8074C9"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8074C9"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9136BF" w:rsidRPr="00365BD6" w:rsidRDefault="008332A8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</w:t>
            </w:r>
            <w:r w:rsidR="008074C9" w:rsidRPr="00365BD6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8074C9"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8074C9"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9136BF" w:rsidRPr="00365BD6" w:rsidRDefault="008332A8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</w:t>
            </w:r>
            <w:r w:rsidR="008074C9" w:rsidRPr="00365BD6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8074C9"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8074C9"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9136BF" w:rsidRPr="00365BD6" w:rsidRDefault="008332A8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</w:t>
            </w:r>
            <w:r w:rsidR="008074C9" w:rsidRPr="00365BD6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8074C9"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8074C9"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="008074C9"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58"/>
        </w:trPr>
        <w:tc>
          <w:tcPr>
            <w:tcW w:w="34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703F3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136BF" w:rsidRPr="00365BD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703F3" w:rsidP="002A7E3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Айына 700 кВт</w:t>
            </w:r>
            <w:r w:rsidR="0045697F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 ашык керектөө</w:t>
            </w:r>
            <w:r w:rsidR="00330F21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дө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(бийик тоолуу жана жетүүгө кыйын </w:t>
            </w:r>
            <w:r w:rsidR="00330F21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зоналарда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жашаган калкт</w:t>
            </w:r>
            <w:r w:rsidR="00330F21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ан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330F21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тышкары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)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DA232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</w:t>
            </w:r>
            <w:r w:rsidR="00DA232E" w:rsidRPr="00365B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703F3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216,0</w:t>
            </w:r>
          </w:p>
        </w:tc>
        <w:tc>
          <w:tcPr>
            <w:tcW w:w="593" w:type="pct"/>
            <w:vAlign w:val="center"/>
          </w:tcPr>
          <w:p w:rsidR="009136BF" w:rsidRPr="00365BD6" w:rsidRDefault="00D703F3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D703F3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  <w:hideMark/>
          </w:tcPr>
          <w:p w:rsidR="00365BD6" w:rsidRPr="00365BD6" w:rsidRDefault="00365BD6" w:rsidP="00365BD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58"/>
        </w:trPr>
        <w:tc>
          <w:tcPr>
            <w:tcW w:w="34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703F3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136BF" w:rsidRPr="00365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703F3" w:rsidP="002A7E3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Бийик тоолуу жана жетүүгө кыйын болгон алыскы </w:t>
            </w:r>
            <w:r w:rsidR="00330F21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зоналарда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жашаган калк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A232E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593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  <w:hideMark/>
          </w:tcPr>
          <w:p w:rsidR="00365BD6" w:rsidRPr="00365BD6" w:rsidRDefault="00365BD6" w:rsidP="00365BD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2A7E3C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 w:val="restart"/>
            <w:vAlign w:val="center"/>
          </w:tcPr>
          <w:p w:rsidR="00567030" w:rsidRPr="00365BD6" w:rsidRDefault="00567030" w:rsidP="00567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365BD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lastRenderedPageBreak/>
              <w:t>2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30" w:rsidRPr="002A7E3C" w:rsidRDefault="00567030" w:rsidP="002A7E3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Насостук станциялар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109,5</w:t>
            </w:r>
          </w:p>
        </w:tc>
        <w:tc>
          <w:tcPr>
            <w:tcW w:w="593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BD6">
              <w:rPr>
                <w:rFonts w:ascii="Times New Roman" w:hAnsi="Times New Roman"/>
                <w:sz w:val="24"/>
                <w:szCs w:val="24"/>
              </w:rPr>
              <w:t>128,7</w:t>
            </w:r>
          </w:p>
        </w:tc>
        <w:tc>
          <w:tcPr>
            <w:tcW w:w="561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BD6">
              <w:rPr>
                <w:rFonts w:ascii="Times New Roman" w:hAnsi="Times New Roman"/>
                <w:sz w:val="24"/>
                <w:szCs w:val="24"/>
              </w:rPr>
              <w:t>148,0</w:t>
            </w:r>
          </w:p>
        </w:tc>
        <w:tc>
          <w:tcPr>
            <w:tcW w:w="561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567030" w:rsidRPr="00365BD6" w:rsidRDefault="00567030" w:rsidP="00567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30" w:rsidRPr="00365BD6" w:rsidRDefault="00567030" w:rsidP="002A7E3C">
            <w:pPr>
              <w:pStyle w:val="tkTablica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theme="minorBidi"/>
                <w:bCs/>
                <w:iCs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593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BD6">
              <w:rPr>
                <w:rFonts w:ascii="Times New Roman" w:hAnsi="Times New Roman"/>
                <w:sz w:val="24"/>
                <w:szCs w:val="24"/>
              </w:rPr>
              <w:t>17,5</w:t>
            </w:r>
          </w:p>
        </w:tc>
        <w:tc>
          <w:tcPr>
            <w:tcW w:w="561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BD6">
              <w:rPr>
                <w:rFonts w:ascii="Times New Roman" w:hAnsi="Times New Roman"/>
                <w:sz w:val="24"/>
                <w:szCs w:val="24"/>
              </w:rPr>
              <w:t>15,0</w:t>
            </w:r>
          </w:p>
        </w:tc>
        <w:tc>
          <w:tcPr>
            <w:tcW w:w="561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инфляциянын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деңгээлине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инфляциянын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деңгээлине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 w:val="restart"/>
            <w:vAlign w:val="center"/>
          </w:tcPr>
          <w:p w:rsidR="00567030" w:rsidRPr="00365BD6" w:rsidRDefault="00567030" w:rsidP="005670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365BD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3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30" w:rsidRPr="002A7E3C" w:rsidRDefault="00567030" w:rsidP="002A7E3C">
            <w:pPr>
              <w:pStyle w:val="tkTablica"/>
              <w:spacing w:line="240" w:lineRule="auto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365BD6">
              <w:rPr>
                <w:rFonts w:ascii="Times New Roman" w:hAnsi="Times New Roman"/>
                <w:bCs/>
                <w:iCs/>
                <w:sz w:val="24"/>
                <w:szCs w:val="24"/>
                <w:lang w:val="ky-KG"/>
              </w:rPr>
              <w:t>Электр транспорту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593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567030" w:rsidRPr="00365BD6" w:rsidRDefault="00567030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365BD6" w:rsidRPr="00365BD6" w:rsidRDefault="00365BD6" w:rsidP="00365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2A7E3C">
            <w:pPr>
              <w:pStyle w:val="tkTablica"/>
              <w:spacing w:line="240" w:lineRule="auto"/>
              <w:rPr>
                <w:rFonts w:ascii="Times New Roman" w:hAnsi="Times New Roman" w:cstheme="minorBidi"/>
                <w:bCs/>
                <w:iCs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theme="minorBidi"/>
                <w:bCs/>
                <w:iCs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440"/>
        </w:trPr>
        <w:tc>
          <w:tcPr>
            <w:tcW w:w="34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6228E6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A232E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Интернат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тибиндеги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балдар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мекемелери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майыптар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жана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/же </w:t>
            </w:r>
            <w:r w:rsidR="00330F21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улгайган жарандар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үчүн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социалдык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стационардык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жана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жарым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стационардык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мекемелер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A232E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593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  <w:hideMark/>
          </w:tcPr>
          <w:p w:rsidR="00365BD6" w:rsidRPr="00365BD6" w:rsidRDefault="00365BD6" w:rsidP="00365BD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54"/>
        </w:trPr>
        <w:tc>
          <w:tcPr>
            <w:tcW w:w="346" w:type="pct"/>
            <w:vMerge w:val="restart"/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6BF" w:rsidRPr="00365BD6" w:rsidRDefault="00DA232E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Диний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уюмдар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6BF" w:rsidRPr="00365BD6" w:rsidRDefault="009136BF" w:rsidP="00DA232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</w:t>
            </w:r>
            <w:r w:rsidR="00DA232E" w:rsidRPr="00365B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168,0</w:t>
            </w:r>
          </w:p>
        </w:tc>
        <w:tc>
          <w:tcPr>
            <w:tcW w:w="593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365BD6" w:rsidRPr="00365BD6" w:rsidRDefault="00365BD6" w:rsidP="00365BD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51"/>
        </w:trPr>
        <w:tc>
          <w:tcPr>
            <w:tcW w:w="34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A232E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Бюджеттик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керектөөчүлөр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DA232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</w:t>
            </w:r>
            <w:r w:rsidR="00DA232E" w:rsidRPr="00365B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593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365BD6" w:rsidRPr="00365BD6" w:rsidRDefault="00365BD6" w:rsidP="00365BD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58"/>
        </w:trPr>
        <w:tc>
          <w:tcPr>
            <w:tcW w:w="34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A232E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Айыл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чарба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A232E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593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365BD6" w:rsidRPr="00365BD6" w:rsidRDefault="00365BD6" w:rsidP="00365BD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58"/>
        </w:trPr>
        <w:tc>
          <w:tcPr>
            <w:tcW w:w="34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A232E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Өнөр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жай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DA232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</w:t>
            </w:r>
            <w:r w:rsidR="00DA232E" w:rsidRPr="00365B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593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9136BF" w:rsidRPr="00365BD6" w:rsidRDefault="009136BF" w:rsidP="00EC6A8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A232E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93" w:type="pct"/>
            <w:vAlign w:val="center"/>
          </w:tcPr>
          <w:p w:rsidR="003F665C" w:rsidRDefault="00DA232E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инфляциянын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</w:p>
          <w:p w:rsidR="009136BF" w:rsidRPr="00365BD6" w:rsidRDefault="00DA232E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9136BF" w:rsidRPr="00365BD6" w:rsidRDefault="00DA232E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инфляциянын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деңгээлине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9136BF" w:rsidRPr="00365BD6" w:rsidRDefault="00DA232E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инфляциянын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деңгээлине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9136BF" w:rsidRPr="00365BD6" w:rsidRDefault="00DA232E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инфляциянын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деңгээлине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51"/>
        </w:trPr>
        <w:tc>
          <w:tcPr>
            <w:tcW w:w="34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DA232E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Башка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керектөөчүлөр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DA232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</w:t>
            </w:r>
            <w:r w:rsidR="00DA232E" w:rsidRPr="00365B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593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365BD6" w:rsidRPr="00365BD6" w:rsidRDefault="00365BD6" w:rsidP="00365BD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49"/>
        </w:trPr>
        <w:tc>
          <w:tcPr>
            <w:tcW w:w="346" w:type="pct"/>
            <w:vMerge w:val="restar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032D5E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Майнингдин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суб</w:t>
            </w:r>
            <w:r w:rsidR="00330F21" w:rsidRPr="00365BD6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екттери</w:t>
            </w:r>
            <w:proofErr w:type="spellEnd"/>
            <w:r w:rsidR="00330F21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</w:t>
            </w:r>
            <w:r w:rsidR="00330F21" w:rsidRPr="00365BD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="00330F21" w:rsidRPr="00365BD6">
              <w:rPr>
                <w:rFonts w:ascii="Times New Roman" w:hAnsi="Times New Roman" w:cs="Times New Roman"/>
                <w:sz w:val="24"/>
                <w:szCs w:val="24"/>
              </w:rPr>
              <w:t>криптовалюта</w:t>
            </w:r>
            <w:proofErr w:type="spellEnd"/>
            <w:r w:rsidR="00330F21" w:rsidRPr="00365B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DA232E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</w:t>
            </w:r>
            <w:r w:rsidR="00DA232E" w:rsidRPr="00365BD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593" w:type="pct"/>
            <w:vAlign w:val="center"/>
          </w:tcPr>
          <w:p w:rsidR="009136BF" w:rsidRPr="00365BD6" w:rsidRDefault="0082313D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9136BF" w:rsidRPr="00365BD6" w:rsidRDefault="008074C9" w:rsidP="00EC6A8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49"/>
        </w:trPr>
        <w:tc>
          <w:tcPr>
            <w:tcW w:w="346" w:type="pct"/>
            <w:vMerge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  <w:hideMark/>
          </w:tcPr>
          <w:p w:rsidR="009136BF" w:rsidRPr="00365BD6" w:rsidRDefault="009136BF" w:rsidP="00EC6A80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032D5E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Жогорулатуу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коэффициенти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9136BF" w:rsidP="00EC6A80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136BF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93" w:type="pct"/>
            <w:vAlign w:val="center"/>
          </w:tcPr>
          <w:p w:rsidR="009136BF" w:rsidRPr="00365BD6" w:rsidRDefault="0010436A" w:rsidP="001043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61" w:type="pct"/>
            <w:vAlign w:val="center"/>
          </w:tcPr>
          <w:p w:rsidR="009136BF" w:rsidRPr="00365BD6" w:rsidRDefault="0010436A" w:rsidP="001043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61" w:type="pct"/>
            <w:vAlign w:val="center"/>
          </w:tcPr>
          <w:p w:rsidR="009136BF" w:rsidRPr="00365BD6" w:rsidRDefault="0010436A" w:rsidP="001043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6" w:type="pct"/>
            <w:vAlign w:val="center"/>
          </w:tcPr>
          <w:p w:rsidR="009136BF" w:rsidRPr="00365BD6" w:rsidRDefault="0010436A" w:rsidP="001043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5BD6" w:rsidRPr="00365BD6" w:rsidTr="00365BD6">
        <w:trPr>
          <w:trHeight w:val="158"/>
        </w:trPr>
        <w:tc>
          <w:tcPr>
            <w:tcW w:w="346" w:type="pct"/>
            <w:vMerge w:val="restart"/>
            <w:vAlign w:val="center"/>
          </w:tcPr>
          <w:p w:rsidR="0010436A" w:rsidRPr="00365BD6" w:rsidRDefault="0010436A" w:rsidP="00104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365BD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11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Алтын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E3B9A" w:rsidRPr="00365BD6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proofErr w:type="spellEnd"/>
            <w:r w:rsidR="004E3B9A"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3B9A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өнөр жай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ишканалар</w:t>
            </w:r>
            <w:proofErr w:type="spellEnd"/>
            <w:r w:rsidR="004E3B9A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ы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(алтын </w:t>
            </w:r>
            <w:r w:rsidR="004E3B9A"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өндүрүүчү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фабрикалар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593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58"/>
        </w:trPr>
        <w:tc>
          <w:tcPr>
            <w:tcW w:w="346" w:type="pct"/>
            <w:vMerge/>
            <w:vAlign w:val="center"/>
          </w:tcPr>
          <w:p w:rsidR="00365BD6" w:rsidRPr="00365BD6" w:rsidRDefault="00365BD6" w:rsidP="00365BD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10436A" w:rsidRPr="00365BD6" w:rsidRDefault="0010436A" w:rsidP="0010436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Жогорулатуу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коэффициенти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93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6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 w:val="restart"/>
            <w:vAlign w:val="center"/>
          </w:tcPr>
          <w:p w:rsidR="0010436A" w:rsidRPr="00365BD6" w:rsidRDefault="0010436A" w:rsidP="00104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365BD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12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Куючу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эрит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үүчү цехтер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6228E6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593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365BD6" w:rsidRPr="00365BD6" w:rsidRDefault="00365BD6" w:rsidP="00365BD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10436A" w:rsidRPr="00365BD6" w:rsidRDefault="0010436A" w:rsidP="0010436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Жогорулатуу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коэффициенти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9C32C8" w:rsidP="009C32C8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  <w:r w:rsidR="0010436A" w:rsidRPr="00365B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593" w:type="pct"/>
            <w:vAlign w:val="center"/>
          </w:tcPr>
          <w:p w:rsidR="0010436A" w:rsidRPr="00365BD6" w:rsidRDefault="009C32C8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561" w:type="pct"/>
            <w:vAlign w:val="center"/>
          </w:tcPr>
          <w:p w:rsidR="0010436A" w:rsidRPr="00365BD6" w:rsidRDefault="009C32C8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561" w:type="pct"/>
            <w:vAlign w:val="center"/>
          </w:tcPr>
          <w:p w:rsidR="0010436A" w:rsidRPr="00365BD6" w:rsidRDefault="009C32C8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  <w:tc>
          <w:tcPr>
            <w:tcW w:w="556" w:type="pct"/>
            <w:vAlign w:val="center"/>
          </w:tcPr>
          <w:p w:rsidR="0010436A" w:rsidRPr="00365BD6" w:rsidRDefault="009C32C8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5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 w:val="restart"/>
            <w:vAlign w:val="center"/>
          </w:tcPr>
          <w:p w:rsidR="0010436A" w:rsidRPr="00365BD6" w:rsidRDefault="0010436A" w:rsidP="00104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365BD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13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6228E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Алкоголдук продукцияларды өндүүрүү боюнча ишканалар 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6228E6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593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365BD6" w:rsidRPr="00365BD6" w:rsidRDefault="00365BD6" w:rsidP="00365BD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lastRenderedPageBreak/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lastRenderedPageBreak/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lastRenderedPageBreak/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lastRenderedPageBreak/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lastRenderedPageBreak/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lastRenderedPageBreak/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lastRenderedPageBreak/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10436A" w:rsidRPr="00365BD6" w:rsidRDefault="0010436A" w:rsidP="0010436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Жогорулатуу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коэффициенти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93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556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 w:val="restart"/>
            <w:vAlign w:val="center"/>
          </w:tcPr>
          <w:p w:rsidR="0010436A" w:rsidRPr="00365BD6" w:rsidRDefault="0010436A" w:rsidP="001043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365BD6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14</w:t>
            </w: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6228E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Цемент заводдору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6228E6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proofErr w:type="gram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кВт.с</w:t>
            </w:r>
            <w:proofErr w:type="spellEnd"/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252,0</w:t>
            </w:r>
          </w:p>
        </w:tc>
        <w:tc>
          <w:tcPr>
            <w:tcW w:w="593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61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  <w:tc>
          <w:tcPr>
            <w:tcW w:w="556" w:type="pct"/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тариф</w:t>
            </w:r>
            <w:proofErr w:type="gram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+ инфляция</w:t>
            </w:r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365BD6" w:rsidRPr="00365BD6" w:rsidRDefault="00365BD6" w:rsidP="00365BD6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Өсүш</w:t>
            </w:r>
            <w:proofErr w:type="spellEnd"/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  <w:tc>
          <w:tcPr>
            <w:tcW w:w="593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1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56" w:type="pct"/>
            <w:vAlign w:val="center"/>
          </w:tcPr>
          <w:p w:rsidR="00365BD6" w:rsidRPr="00365BD6" w:rsidRDefault="00365BD6" w:rsidP="00365BD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65BD6"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proofErr w:type="gram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деңгээли</w:t>
            </w:r>
            <w:proofErr w:type="spellEnd"/>
            <w:r w:rsidRPr="00365BD6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Pr="00365BD6">
              <w:rPr>
                <w:rFonts w:ascii="Times New Roman" w:hAnsi="Times New Roman"/>
                <w:sz w:val="24"/>
                <w:szCs w:val="24"/>
              </w:rPr>
              <w:t xml:space="preserve">не </w:t>
            </w:r>
            <w:proofErr w:type="spellStart"/>
            <w:r w:rsidRPr="00365BD6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365BD6" w:rsidRPr="00365BD6" w:rsidTr="00365BD6">
        <w:trPr>
          <w:trHeight w:val="164"/>
        </w:trPr>
        <w:tc>
          <w:tcPr>
            <w:tcW w:w="346" w:type="pct"/>
            <w:vMerge/>
            <w:vAlign w:val="center"/>
          </w:tcPr>
          <w:p w:rsidR="0010436A" w:rsidRPr="00365BD6" w:rsidRDefault="0010436A" w:rsidP="0010436A">
            <w:pPr>
              <w:spacing w:after="0" w:line="240" w:lineRule="auto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344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2A7E3C">
            <w:pPr>
              <w:pStyle w:val="tkTablica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Жогорулатуу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коэффициенти</w:t>
            </w:r>
            <w:proofErr w:type="spellEnd"/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3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10436A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0436A" w:rsidRPr="00365BD6" w:rsidRDefault="006228E6" w:rsidP="0010436A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  <w:tc>
          <w:tcPr>
            <w:tcW w:w="593" w:type="pct"/>
            <w:vAlign w:val="center"/>
          </w:tcPr>
          <w:p w:rsidR="0010436A" w:rsidRPr="00365BD6" w:rsidRDefault="006228E6" w:rsidP="006228E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436A" w:rsidRPr="00365B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" w:type="pct"/>
            <w:vAlign w:val="center"/>
          </w:tcPr>
          <w:p w:rsidR="0010436A" w:rsidRPr="00365BD6" w:rsidRDefault="006228E6" w:rsidP="006228E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436A" w:rsidRPr="00365B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1" w:type="pct"/>
            <w:vAlign w:val="center"/>
          </w:tcPr>
          <w:p w:rsidR="0010436A" w:rsidRPr="00365BD6" w:rsidRDefault="006228E6" w:rsidP="006228E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436A" w:rsidRPr="00365B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6" w:type="pct"/>
            <w:vAlign w:val="center"/>
          </w:tcPr>
          <w:p w:rsidR="0010436A" w:rsidRPr="00365BD6" w:rsidRDefault="006228E6" w:rsidP="006228E6">
            <w:pPr>
              <w:pStyle w:val="tkTablica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0436A" w:rsidRPr="00365BD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65BD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9136BF" w:rsidRPr="00365BD6" w:rsidRDefault="009136BF" w:rsidP="009136BF">
      <w:pPr>
        <w:pStyle w:val="tkTekst"/>
        <w:rPr>
          <w:rFonts w:ascii="Times New Roman" w:hAnsi="Times New Roman" w:cs="Times New Roman"/>
        </w:rPr>
      </w:pPr>
      <w:r w:rsidRPr="00365BD6">
        <w:rPr>
          <w:rFonts w:ascii="Times New Roman" w:hAnsi="Times New Roman" w:cs="Times New Roman"/>
        </w:rPr>
        <w:t> </w:t>
      </w:r>
    </w:p>
    <w:p w:rsidR="00C56B1B" w:rsidRPr="00365BD6" w:rsidRDefault="00665859" w:rsidP="009B3A2D">
      <w:pPr>
        <w:pStyle w:val="a5"/>
        <w:rPr>
          <w:rFonts w:ascii="Times New Roman" w:hAnsi="Times New Roman" w:cs="Times New Roman"/>
          <w:b/>
          <w:sz w:val="24"/>
          <w:szCs w:val="24"/>
          <w:lang w:val="ky-KG"/>
        </w:rPr>
      </w:pPr>
      <w:r w:rsidRPr="00365BD6">
        <w:rPr>
          <w:rFonts w:ascii="Times New Roman" w:hAnsi="Times New Roman" w:cs="Times New Roman"/>
          <w:b/>
          <w:sz w:val="24"/>
          <w:szCs w:val="24"/>
          <w:lang w:val="ky-KG"/>
        </w:rPr>
        <w:t>Эскертүү.</w:t>
      </w:r>
    </w:p>
    <w:p w:rsidR="009B3A2D" w:rsidRPr="00365BD6" w:rsidRDefault="009B3A2D" w:rsidP="009B3A2D">
      <w:pPr>
        <w:pStyle w:val="a5"/>
        <w:jc w:val="both"/>
        <w:rPr>
          <w:rFonts w:ascii="Times New Roman" w:hAnsi="Times New Roman" w:cs="Times New Roman"/>
          <w:b/>
          <w:sz w:val="24"/>
          <w:szCs w:val="24"/>
          <w:lang w:val="ky-KG"/>
        </w:rPr>
      </w:pPr>
    </w:p>
    <w:p w:rsidR="009B3A2D" w:rsidRPr="00365BD6" w:rsidRDefault="009B3A2D" w:rsidP="0066585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1. Кийинки жылдардагы электр энергиясынын тарифтери өткөн жылдагы инфляциянын деңгээлине 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>түзөтүлгөн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 өткөн жылдын тарифинен түзүлөт;</w:t>
      </w:r>
    </w:p>
    <w:p w:rsidR="009B3A2D" w:rsidRPr="00365BD6" w:rsidRDefault="009B3A2D" w:rsidP="00665859">
      <w:pPr>
        <w:pStyle w:val="a5"/>
        <w:ind w:firstLine="708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2. 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>“Электр станциялар”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>ачык акционердик коому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 жана 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>“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Кыргызстан 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УЭТ” ачык акционердик коому 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менен электр энергиясын камсыз кылууга келишими бар керектөөчүлөр үчүн тарифтер 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электр энергиясынын 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>чыңалуу классын эске алуу менен отун-энергетикалык комплекс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>ин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 жөнгө салуу боюнча ыйгарым укуктуу мамлекеттик органдын чечими менен белгиленет. Мында 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тарифтин 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эң жогорку 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өлчөмү 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акыркы керектөөчүлөрдүн 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>“Ө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>нөр жай</w:t>
      </w:r>
      <w:r w:rsidR="00665859" w:rsidRPr="00365BD6">
        <w:rPr>
          <w:rFonts w:ascii="Times New Roman" w:hAnsi="Times New Roman" w:cs="Times New Roman"/>
          <w:sz w:val="24"/>
          <w:szCs w:val="24"/>
          <w:lang w:val="ky-KG"/>
        </w:rPr>
        <w:t>”</w:t>
      </w:r>
      <w:r w:rsidRPr="00365BD6">
        <w:rPr>
          <w:rFonts w:ascii="Times New Roman" w:hAnsi="Times New Roman" w:cs="Times New Roman"/>
          <w:sz w:val="24"/>
          <w:szCs w:val="24"/>
          <w:lang w:val="ky-KG"/>
        </w:rPr>
        <w:t xml:space="preserve"> тобу үчүн тарифтин деңгээлинде белгиленет, ал эми минималдуу тариф электр энергиясынын чыңалуу классына жараша аныкталат.</w:t>
      </w:r>
    </w:p>
    <w:sectPr w:rsidR="009B3A2D" w:rsidRPr="00365BD6" w:rsidSect="00426AF4">
      <w:footerReference w:type="default" r:id="rId6"/>
      <w:pgSz w:w="11906" w:h="16838"/>
      <w:pgMar w:top="1134" w:right="851" w:bottom="1134" w:left="1701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028A" w:rsidRDefault="0077028A" w:rsidP="009B3A2D">
      <w:pPr>
        <w:spacing w:after="0" w:line="240" w:lineRule="auto"/>
      </w:pPr>
      <w:r>
        <w:separator/>
      </w:r>
    </w:p>
  </w:endnote>
  <w:endnote w:type="continuationSeparator" w:id="0">
    <w:p w:rsidR="0077028A" w:rsidRDefault="0077028A" w:rsidP="009B3A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4198839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</w:rPr>
    </w:sdtEndPr>
    <w:sdtContent>
      <w:p w:rsidR="009B3A2D" w:rsidRPr="002A7E3C" w:rsidRDefault="009B3A2D">
        <w:pPr>
          <w:pStyle w:val="a3"/>
          <w:jc w:val="right"/>
          <w:rPr>
            <w:rFonts w:ascii="Times New Roman" w:hAnsi="Times New Roman"/>
            <w:sz w:val="24"/>
          </w:rPr>
        </w:pPr>
        <w:r w:rsidRPr="002A7E3C">
          <w:rPr>
            <w:rFonts w:ascii="Times New Roman" w:hAnsi="Times New Roman"/>
            <w:sz w:val="24"/>
          </w:rPr>
          <w:fldChar w:fldCharType="begin"/>
        </w:r>
        <w:r w:rsidRPr="002A7E3C">
          <w:rPr>
            <w:rFonts w:ascii="Times New Roman" w:hAnsi="Times New Roman"/>
            <w:sz w:val="24"/>
          </w:rPr>
          <w:instrText>PAGE   \* MERGEFORMAT</w:instrText>
        </w:r>
        <w:r w:rsidRPr="002A7E3C">
          <w:rPr>
            <w:rFonts w:ascii="Times New Roman" w:hAnsi="Times New Roman"/>
            <w:sz w:val="24"/>
          </w:rPr>
          <w:fldChar w:fldCharType="separate"/>
        </w:r>
        <w:r w:rsidR="003F665C">
          <w:rPr>
            <w:rFonts w:ascii="Times New Roman" w:hAnsi="Times New Roman"/>
            <w:noProof/>
            <w:sz w:val="24"/>
          </w:rPr>
          <w:t>4</w:t>
        </w:r>
        <w:r w:rsidRPr="002A7E3C">
          <w:rPr>
            <w:rFonts w:ascii="Times New Roman" w:hAnsi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028A" w:rsidRDefault="0077028A" w:rsidP="009B3A2D">
      <w:pPr>
        <w:spacing w:after="0" w:line="240" w:lineRule="auto"/>
      </w:pPr>
      <w:r>
        <w:separator/>
      </w:r>
    </w:p>
  </w:footnote>
  <w:footnote w:type="continuationSeparator" w:id="0">
    <w:p w:rsidR="0077028A" w:rsidRDefault="0077028A" w:rsidP="009B3A2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B5C"/>
    <w:rsid w:val="00032D5E"/>
    <w:rsid w:val="00064CFE"/>
    <w:rsid w:val="0010436A"/>
    <w:rsid w:val="0016370B"/>
    <w:rsid w:val="00174B5C"/>
    <w:rsid w:val="00202F45"/>
    <w:rsid w:val="002255A2"/>
    <w:rsid w:val="00244E14"/>
    <w:rsid w:val="00291C84"/>
    <w:rsid w:val="002A7E3C"/>
    <w:rsid w:val="002C6F6C"/>
    <w:rsid w:val="00307C04"/>
    <w:rsid w:val="00330F21"/>
    <w:rsid w:val="00365BD6"/>
    <w:rsid w:val="003F665C"/>
    <w:rsid w:val="00426AF4"/>
    <w:rsid w:val="0045697F"/>
    <w:rsid w:val="0047001B"/>
    <w:rsid w:val="004B3FB6"/>
    <w:rsid w:val="004D3C3B"/>
    <w:rsid w:val="004E3B9A"/>
    <w:rsid w:val="00567030"/>
    <w:rsid w:val="00577EAE"/>
    <w:rsid w:val="005B0655"/>
    <w:rsid w:val="005E12B6"/>
    <w:rsid w:val="006228E6"/>
    <w:rsid w:val="00665859"/>
    <w:rsid w:val="006D2FD4"/>
    <w:rsid w:val="0077028A"/>
    <w:rsid w:val="00773A7B"/>
    <w:rsid w:val="008074C9"/>
    <w:rsid w:val="0082313D"/>
    <w:rsid w:val="008332A8"/>
    <w:rsid w:val="00837A02"/>
    <w:rsid w:val="00864B2A"/>
    <w:rsid w:val="009136BF"/>
    <w:rsid w:val="00964626"/>
    <w:rsid w:val="009B3A2D"/>
    <w:rsid w:val="009C32C8"/>
    <w:rsid w:val="00A64DC8"/>
    <w:rsid w:val="00A921A2"/>
    <w:rsid w:val="00B93466"/>
    <w:rsid w:val="00B93EF2"/>
    <w:rsid w:val="00C16321"/>
    <w:rsid w:val="00D703F3"/>
    <w:rsid w:val="00DA232E"/>
    <w:rsid w:val="00E4328D"/>
    <w:rsid w:val="00ED1151"/>
    <w:rsid w:val="00F47E5A"/>
    <w:rsid w:val="00F70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56C645-C171-454E-B9A2-C9D170A25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kNazvanie">
    <w:name w:val="_Название (tkNazvanie)"/>
    <w:basedOn w:val="a"/>
    <w:rsid w:val="009136BF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9136BF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kTablica">
    <w:name w:val="_Текст таблицы (tkTablica)"/>
    <w:basedOn w:val="a"/>
    <w:rsid w:val="009136BF"/>
    <w:pPr>
      <w:spacing w:after="60" w:line="276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uiPriority w:val="99"/>
    <w:unhideWhenUsed/>
    <w:rsid w:val="009136BF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136BF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9136BF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9B3A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A2D"/>
  </w:style>
  <w:style w:type="paragraph" w:styleId="a8">
    <w:name w:val="Balloon Text"/>
    <w:basedOn w:val="a"/>
    <w:link w:val="a9"/>
    <w:uiPriority w:val="99"/>
    <w:semiHidden/>
    <w:unhideWhenUsed/>
    <w:rsid w:val="00426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6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7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9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0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9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1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4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8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5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6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7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1050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123-2</dc:creator>
  <cp:keywords/>
  <dc:description/>
  <cp:lastModifiedBy>Надежда Давлеталиева</cp:lastModifiedBy>
  <cp:revision>21</cp:revision>
  <cp:lastPrinted>2021-10-01T02:46:00Z</cp:lastPrinted>
  <dcterms:created xsi:type="dcterms:W3CDTF">2021-05-30T09:01:00Z</dcterms:created>
  <dcterms:modified xsi:type="dcterms:W3CDTF">2021-10-01T04:42:00Z</dcterms:modified>
</cp:coreProperties>
</file>