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54D" w:rsidRDefault="00A3154D" w:rsidP="00A3154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154D">
        <w:rPr>
          <w:rFonts w:ascii="Times New Roman" w:hAnsi="Times New Roman" w:cs="Times New Roman"/>
          <w:b/>
          <w:bCs/>
          <w:sz w:val="28"/>
          <w:szCs w:val="28"/>
        </w:rPr>
        <w:t>СОГЛАШЕНИЕ</w:t>
      </w:r>
      <w:r w:rsidRPr="00A3154D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об образовании Межгосударственного совета </w:t>
      </w:r>
    </w:p>
    <w:p w:rsidR="00A3154D" w:rsidRPr="00A3154D" w:rsidRDefault="00A3154D" w:rsidP="00A3154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b/>
          <w:bCs/>
          <w:sz w:val="28"/>
          <w:szCs w:val="28"/>
        </w:rPr>
        <w:t>по противодействию коррупции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 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Государства – участники Содружества Независимых Государств, именуемые в дальнейшем Сторонами,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учитывая, что коррупция представляет угрозу безопасности Сторон,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придавая важное значение развитию сотрудничества в противодействии коррупции и стремясь к его координации,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признавая, что борьба с коррупцией требует использования совместных и эффективных форм, методов и средств,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считая, что взаимодействие в вопросах противодействия коррупции способно принести значительную пользу в решении задачи по искоренению коррупции,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b/>
          <w:bCs/>
          <w:sz w:val="28"/>
          <w:szCs w:val="28"/>
        </w:rPr>
        <w:t>согласились о нижеследующем: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 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Образовать Межгосударственный совет по противодействию коррупции (далее – Совет).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 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Совет осуществляет свою деятельность в соответствии с Положением о Межгосударственном совете по противодействию коррупции согласно приложению, которое является неотъемлемой частью настоящего Соглашения.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 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b/>
          <w:bCs/>
          <w:sz w:val="28"/>
          <w:szCs w:val="28"/>
        </w:rPr>
        <w:t>Статья 3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Каждая Сторона при сдаче депозитарию уведомления о выполнении внутригосударственных процедур, необходимых для вступления настоящего Соглашения в силу, сообщает данные о члене Совета.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О замене члена Совета Сторона в течение месяца письменно уведомляет депозитарий.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lastRenderedPageBreak/>
        <w:t> 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b/>
          <w:bCs/>
          <w:sz w:val="28"/>
          <w:szCs w:val="28"/>
        </w:rPr>
        <w:t>Статья 4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Настоящее Соглашение не затрагивает прав и обязательств каждой из Сторон, вытекающих для нее из других международных договоров, участницей которых она является.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 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b/>
          <w:bCs/>
          <w:sz w:val="28"/>
          <w:szCs w:val="28"/>
        </w:rPr>
        <w:t>Статья 5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Настоящее Соглашение вступает в силу по истечении 30 дней с даты получения депозитарием третьего уведомления о выполнении подписавшими его Сторонами внутригосударственных процедур, необходимых для его вступления в силу.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Для Сторон, выполнивших внутригосударственные процедуры позднее, настоящее Соглашение вступает в силу по истечении 30 дней с даты получения депозитарием соответствующего уведомления.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 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b/>
          <w:bCs/>
          <w:sz w:val="28"/>
          <w:szCs w:val="28"/>
        </w:rPr>
        <w:t>Статья 6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По взаимному согласию Сторон в настоящее Соглашение могут быть внесены изменения, являющиеся его неотъемлемой частью, которые оформляются соответствующим протоколом, вступающим в силу в порядке, предусмотренном статьей 5 настоящего Соглашения.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 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b/>
          <w:bCs/>
          <w:sz w:val="28"/>
          <w:szCs w:val="28"/>
        </w:rPr>
        <w:t>Статья 7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Настоящее Соглашение после его вступления в силу открыто для присоединения любого государства, разделяющего его цели и принципы, путем передачи депозитарию документа о присоединении.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Для государства – участника Содружества Независимых Государств настоящее Соглашение вступает в силу по истечении 30 дней с даты получения депозитарием документа о присоединении.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Для государства, не являющегося участником Содружества Независимых Государств, настоящее Соглашение вступает в силу по истечении 30 дней с даты получения депозитарием последнего уведомления о согласии всех государств – участников настоящего Соглашения на такое присоединение.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 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b/>
          <w:bCs/>
          <w:sz w:val="28"/>
          <w:szCs w:val="28"/>
        </w:rPr>
        <w:t>Статья 8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lastRenderedPageBreak/>
        <w:t>Настоящее Соглашение заключается на неопределенный срок.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Каждая из Сторон вправе выйти из настоящего Соглашения, направив депозитарию письменное уведомление о своем намерении не позднее чем за 6 месяцев до даты выхода и урегулировав финансовые и иные обязательства, возникшие за время действия Соглашения.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 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Совершено в городе Минске 25 октября 2013 года в одном подлинном экземпляре на русском языке. Подлинный экземпляр хранится в Исполнительном комитете Содружества Независимых Государств, который направит каждому государству, подписавшему настоящее Соглашение, его заверенную копию.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0" w:type="auto"/>
        <w:tblCellSpacing w:w="0" w:type="dxa"/>
        <w:shd w:val="clear" w:color="auto" w:fill="E7E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4"/>
        <w:gridCol w:w="3629"/>
        <w:gridCol w:w="1093"/>
        <w:gridCol w:w="3529"/>
      </w:tblGrid>
      <w:tr w:rsidR="00A3154D" w:rsidRPr="00A3154D" w:rsidTr="00A3154D">
        <w:trPr>
          <w:tblCellSpacing w:w="0" w:type="dxa"/>
        </w:trPr>
        <w:tc>
          <w:tcPr>
            <w:tcW w:w="4815" w:type="dxa"/>
            <w:gridSpan w:val="2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 Азербайджанской Республики</w:t>
            </w:r>
          </w:p>
        </w:tc>
        <w:tc>
          <w:tcPr>
            <w:tcW w:w="4725" w:type="dxa"/>
            <w:gridSpan w:val="2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 Российской Федерации</w:t>
            </w:r>
          </w:p>
        </w:tc>
      </w:tr>
      <w:tr w:rsidR="00A3154D" w:rsidRPr="00A3154D" w:rsidTr="00A3154D">
        <w:trPr>
          <w:tblCellSpacing w:w="0" w:type="dxa"/>
        </w:trPr>
        <w:tc>
          <w:tcPr>
            <w:tcW w:w="1140" w:type="dxa"/>
            <w:vMerge w:val="restart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90" w:type="dxa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25" w:type="dxa"/>
            <w:vMerge w:val="restart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00" w:type="dxa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3154D" w:rsidRPr="00A3154D" w:rsidTr="00A3154D">
        <w:trPr>
          <w:tblCellSpacing w:w="0" w:type="dxa"/>
        </w:trPr>
        <w:tc>
          <w:tcPr>
            <w:tcW w:w="0" w:type="auto"/>
            <w:vMerge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0" w:type="dxa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----------</w:t>
            </w:r>
          </w:p>
        </w:tc>
        <w:tc>
          <w:tcPr>
            <w:tcW w:w="0" w:type="auto"/>
            <w:vMerge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15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В.Путин</w:t>
            </w:r>
            <w:proofErr w:type="spellEnd"/>
          </w:p>
        </w:tc>
      </w:tr>
      <w:tr w:rsidR="00A3154D" w:rsidRPr="00A3154D" w:rsidTr="00A3154D">
        <w:trPr>
          <w:tblCellSpacing w:w="0" w:type="dxa"/>
        </w:trPr>
        <w:tc>
          <w:tcPr>
            <w:tcW w:w="0" w:type="auto"/>
            <w:vMerge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0" w:type="dxa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vMerge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3154D" w:rsidRPr="00A3154D" w:rsidTr="00A3154D">
        <w:trPr>
          <w:tblCellSpacing w:w="0" w:type="dxa"/>
        </w:trPr>
        <w:tc>
          <w:tcPr>
            <w:tcW w:w="4815" w:type="dxa"/>
            <w:gridSpan w:val="2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 Республики Армения</w:t>
            </w:r>
          </w:p>
        </w:tc>
        <w:tc>
          <w:tcPr>
            <w:tcW w:w="4725" w:type="dxa"/>
            <w:gridSpan w:val="2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 Республики Таджикистан</w:t>
            </w:r>
          </w:p>
        </w:tc>
      </w:tr>
      <w:tr w:rsidR="00A3154D" w:rsidRPr="00A3154D" w:rsidTr="00A3154D">
        <w:trPr>
          <w:tblCellSpacing w:w="0" w:type="dxa"/>
        </w:trPr>
        <w:tc>
          <w:tcPr>
            <w:tcW w:w="1140" w:type="dxa"/>
            <w:vMerge w:val="restart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90" w:type="dxa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25" w:type="dxa"/>
            <w:vMerge w:val="restart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00" w:type="dxa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3154D" w:rsidRPr="00A3154D" w:rsidTr="00A3154D">
        <w:trPr>
          <w:tblCellSpacing w:w="0" w:type="dxa"/>
        </w:trPr>
        <w:tc>
          <w:tcPr>
            <w:tcW w:w="0" w:type="auto"/>
            <w:vMerge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0" w:type="dxa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15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С.Саргсян</w:t>
            </w:r>
            <w:proofErr w:type="spellEnd"/>
          </w:p>
        </w:tc>
        <w:tc>
          <w:tcPr>
            <w:tcW w:w="0" w:type="auto"/>
            <w:vMerge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15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Э.Рахмон</w:t>
            </w:r>
            <w:proofErr w:type="spellEnd"/>
          </w:p>
        </w:tc>
      </w:tr>
      <w:tr w:rsidR="00A3154D" w:rsidRPr="00A3154D" w:rsidTr="00A3154D">
        <w:trPr>
          <w:tblCellSpacing w:w="0" w:type="dxa"/>
        </w:trPr>
        <w:tc>
          <w:tcPr>
            <w:tcW w:w="0" w:type="auto"/>
            <w:vMerge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0" w:type="dxa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vMerge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3154D" w:rsidRPr="00A3154D" w:rsidTr="00A3154D">
        <w:trPr>
          <w:tblCellSpacing w:w="0" w:type="dxa"/>
        </w:trPr>
        <w:tc>
          <w:tcPr>
            <w:tcW w:w="4815" w:type="dxa"/>
            <w:gridSpan w:val="2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 Республики Беларусь</w:t>
            </w:r>
          </w:p>
        </w:tc>
        <w:tc>
          <w:tcPr>
            <w:tcW w:w="4725" w:type="dxa"/>
            <w:gridSpan w:val="2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 Туркменистана</w:t>
            </w:r>
          </w:p>
        </w:tc>
      </w:tr>
      <w:tr w:rsidR="00A3154D" w:rsidRPr="00A3154D" w:rsidTr="00A3154D">
        <w:trPr>
          <w:tblCellSpacing w:w="0" w:type="dxa"/>
        </w:trPr>
        <w:tc>
          <w:tcPr>
            <w:tcW w:w="1140" w:type="dxa"/>
            <w:vMerge w:val="restart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90" w:type="dxa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25" w:type="dxa"/>
            <w:vMerge w:val="restart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00" w:type="dxa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3154D" w:rsidRPr="00A3154D" w:rsidTr="00A3154D">
        <w:trPr>
          <w:tblCellSpacing w:w="0" w:type="dxa"/>
        </w:trPr>
        <w:tc>
          <w:tcPr>
            <w:tcW w:w="0" w:type="auto"/>
            <w:vMerge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0" w:type="dxa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15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А.Лукашенко</w:t>
            </w:r>
            <w:proofErr w:type="spellEnd"/>
          </w:p>
        </w:tc>
        <w:tc>
          <w:tcPr>
            <w:tcW w:w="0" w:type="auto"/>
            <w:vMerge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----------</w:t>
            </w:r>
          </w:p>
        </w:tc>
      </w:tr>
      <w:tr w:rsidR="00A3154D" w:rsidRPr="00A3154D" w:rsidTr="00A3154D">
        <w:trPr>
          <w:tblCellSpacing w:w="0" w:type="dxa"/>
        </w:trPr>
        <w:tc>
          <w:tcPr>
            <w:tcW w:w="0" w:type="auto"/>
            <w:vMerge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0" w:type="dxa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vMerge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3154D" w:rsidRPr="00A3154D" w:rsidTr="00A3154D">
        <w:trPr>
          <w:tblCellSpacing w:w="0" w:type="dxa"/>
        </w:trPr>
        <w:tc>
          <w:tcPr>
            <w:tcW w:w="4815" w:type="dxa"/>
            <w:gridSpan w:val="2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 Республики Казахстан</w:t>
            </w:r>
          </w:p>
        </w:tc>
        <w:tc>
          <w:tcPr>
            <w:tcW w:w="4725" w:type="dxa"/>
            <w:gridSpan w:val="2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 Республики Узбекистан</w:t>
            </w:r>
          </w:p>
        </w:tc>
      </w:tr>
      <w:tr w:rsidR="00A3154D" w:rsidRPr="00A3154D" w:rsidTr="00A3154D">
        <w:trPr>
          <w:tblCellSpacing w:w="0" w:type="dxa"/>
        </w:trPr>
        <w:tc>
          <w:tcPr>
            <w:tcW w:w="1140" w:type="dxa"/>
            <w:vMerge w:val="restart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90" w:type="dxa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25" w:type="dxa"/>
            <w:vMerge w:val="restart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00" w:type="dxa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3154D" w:rsidRPr="00A3154D" w:rsidTr="00A3154D">
        <w:trPr>
          <w:tblCellSpacing w:w="0" w:type="dxa"/>
        </w:trPr>
        <w:tc>
          <w:tcPr>
            <w:tcW w:w="0" w:type="auto"/>
            <w:vMerge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0" w:type="dxa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15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Н.Назарбаев</w:t>
            </w:r>
            <w:proofErr w:type="spellEnd"/>
          </w:p>
        </w:tc>
        <w:tc>
          <w:tcPr>
            <w:tcW w:w="0" w:type="auto"/>
            <w:vMerge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----------</w:t>
            </w:r>
          </w:p>
        </w:tc>
      </w:tr>
      <w:tr w:rsidR="00A3154D" w:rsidRPr="00A3154D" w:rsidTr="00A3154D">
        <w:trPr>
          <w:tblCellSpacing w:w="0" w:type="dxa"/>
        </w:trPr>
        <w:tc>
          <w:tcPr>
            <w:tcW w:w="0" w:type="auto"/>
            <w:vMerge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0" w:type="dxa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vMerge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3154D" w:rsidRPr="00A3154D" w:rsidTr="00A3154D">
        <w:trPr>
          <w:tblCellSpacing w:w="0" w:type="dxa"/>
        </w:trPr>
        <w:tc>
          <w:tcPr>
            <w:tcW w:w="9540" w:type="dxa"/>
            <w:gridSpan w:val="4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3154D" w:rsidRPr="00A3154D" w:rsidTr="00A3154D">
        <w:trPr>
          <w:tblCellSpacing w:w="0" w:type="dxa"/>
        </w:trPr>
        <w:tc>
          <w:tcPr>
            <w:tcW w:w="4815" w:type="dxa"/>
            <w:gridSpan w:val="2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 Кыргызской Республики</w:t>
            </w:r>
          </w:p>
        </w:tc>
        <w:tc>
          <w:tcPr>
            <w:tcW w:w="4725" w:type="dxa"/>
            <w:gridSpan w:val="2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 Украины</w:t>
            </w:r>
          </w:p>
        </w:tc>
      </w:tr>
      <w:tr w:rsidR="00A3154D" w:rsidRPr="00A3154D" w:rsidTr="00A3154D">
        <w:trPr>
          <w:tblCellSpacing w:w="0" w:type="dxa"/>
        </w:trPr>
        <w:tc>
          <w:tcPr>
            <w:tcW w:w="1140" w:type="dxa"/>
            <w:vMerge w:val="restart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3690" w:type="dxa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Первый вице-премьер-министр</w:t>
            </w:r>
          </w:p>
        </w:tc>
        <w:tc>
          <w:tcPr>
            <w:tcW w:w="1125" w:type="dxa"/>
            <w:vMerge w:val="restart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00" w:type="dxa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3154D" w:rsidRPr="00A3154D" w:rsidTr="00A3154D">
        <w:trPr>
          <w:tblCellSpacing w:w="0" w:type="dxa"/>
        </w:trPr>
        <w:tc>
          <w:tcPr>
            <w:tcW w:w="0" w:type="auto"/>
            <w:vMerge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0" w:type="dxa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315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Д.Оторбаев</w:t>
            </w:r>
            <w:proofErr w:type="spellEnd"/>
          </w:p>
        </w:tc>
        <w:tc>
          <w:tcPr>
            <w:tcW w:w="0" w:type="auto"/>
            <w:vMerge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----------</w:t>
            </w:r>
          </w:p>
        </w:tc>
      </w:tr>
      <w:tr w:rsidR="00A3154D" w:rsidRPr="00A3154D" w:rsidTr="00A3154D">
        <w:trPr>
          <w:tblCellSpacing w:w="0" w:type="dxa"/>
        </w:trPr>
        <w:tc>
          <w:tcPr>
            <w:tcW w:w="0" w:type="auto"/>
            <w:vMerge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0" w:type="dxa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vMerge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3154D" w:rsidRPr="00A3154D" w:rsidTr="00A3154D">
        <w:trPr>
          <w:tblCellSpacing w:w="0" w:type="dxa"/>
        </w:trPr>
        <w:tc>
          <w:tcPr>
            <w:tcW w:w="4815" w:type="dxa"/>
            <w:gridSpan w:val="2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 Республики Молдова</w:t>
            </w:r>
          </w:p>
        </w:tc>
        <w:tc>
          <w:tcPr>
            <w:tcW w:w="4725" w:type="dxa"/>
            <w:gridSpan w:val="2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3154D" w:rsidRPr="00A3154D" w:rsidTr="00A3154D">
        <w:trPr>
          <w:tblCellSpacing w:w="0" w:type="dxa"/>
        </w:trPr>
        <w:tc>
          <w:tcPr>
            <w:tcW w:w="1140" w:type="dxa"/>
            <w:vMerge w:val="restart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90" w:type="dxa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25" w:type="dxa"/>
            <w:vMerge w:val="restart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00" w:type="dxa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3154D" w:rsidRPr="00A3154D" w:rsidTr="00A3154D">
        <w:trPr>
          <w:tblCellSpacing w:w="0" w:type="dxa"/>
        </w:trPr>
        <w:tc>
          <w:tcPr>
            <w:tcW w:w="0" w:type="auto"/>
            <w:vMerge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0" w:type="dxa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----------</w:t>
            </w:r>
          </w:p>
        </w:tc>
        <w:tc>
          <w:tcPr>
            <w:tcW w:w="0" w:type="auto"/>
            <w:vMerge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3154D" w:rsidRPr="00A3154D" w:rsidTr="00A3154D">
        <w:trPr>
          <w:tblCellSpacing w:w="0" w:type="dxa"/>
        </w:trPr>
        <w:tc>
          <w:tcPr>
            <w:tcW w:w="0" w:type="auto"/>
            <w:vMerge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0" w:type="dxa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vMerge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shd w:val="clear" w:color="auto" w:fill="E7E7E7"/>
            <w:vAlign w:val="center"/>
            <w:hideMark/>
          </w:tcPr>
          <w:p w:rsidR="00A3154D" w:rsidRPr="00A3154D" w:rsidRDefault="00A3154D" w:rsidP="00A315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154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 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br/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 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Приложение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к Соглашению об образовании</w:t>
      </w:r>
      <w:r w:rsidRPr="00A3154D">
        <w:rPr>
          <w:rFonts w:ascii="Times New Roman" w:hAnsi="Times New Roman" w:cs="Times New Roman"/>
          <w:sz w:val="28"/>
          <w:szCs w:val="28"/>
        </w:rPr>
        <w:br/>
        <w:t>Межгосударственного совета по противодействию коррупции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от 25 октября 2013 года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 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 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 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  <w:r w:rsidRPr="00A3154D">
        <w:rPr>
          <w:rFonts w:ascii="Times New Roman" w:hAnsi="Times New Roman" w:cs="Times New Roman"/>
          <w:b/>
          <w:bCs/>
          <w:sz w:val="28"/>
          <w:szCs w:val="28"/>
        </w:rPr>
        <w:br/>
        <w:t>о Межгосударственном совете по противодействию коррупции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 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 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b/>
          <w:bCs/>
          <w:sz w:val="28"/>
          <w:szCs w:val="28"/>
        </w:rPr>
        <w:t>I. Общие положения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 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 xml:space="preserve">1. Межгосударственный совет по противодействию коррупции (далее – Совет) является органом отраслевого сотрудничества Содружества Независимых Государств и предназначен в рамках своей компетенции для обеспечения организации и координации противодействия коррупции, а также обзора реализации обязательств государств – участников Соглашения об образовании Межгосударственного совета по противодействию коррупции (далее – Соглашение) в сфере противодействия коррупции и </w:t>
      </w:r>
      <w:r w:rsidRPr="00A3154D">
        <w:rPr>
          <w:rFonts w:ascii="Times New Roman" w:hAnsi="Times New Roman" w:cs="Times New Roman"/>
          <w:sz w:val="28"/>
          <w:szCs w:val="28"/>
        </w:rPr>
        <w:lastRenderedPageBreak/>
        <w:t>конструктивного сотрудничества с международными организациями и их структурами.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2. Совет руководствуется в своей деятельности Уставом Содружества Независимых Государств, договорами и решениями, принятыми в рамках Содружества Независимых Государств, Общим положением об органах отраслевого сотрудничества Содружества Независимых Государств и настоящим Положением.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3. Совет осуществляет свою деятельность во взаимодействии с Исполнительным комитетом Содружества Независимых Государств, другими органами Содружества Независимых Государств, государственными органами государств – участников Соглашения, а при необходимости – с международными организациями и их структурами.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4. Совет подотчетен в своей деятельности Совету глав государств Содружества Независимых Государств.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5. Совет организует свою работу на основе принятых им планов.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6. Совет ежегодно предоставляет в Исполнительный комитет Содружества Независимых Государств информацию о своей деятельности.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 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b/>
          <w:bCs/>
          <w:sz w:val="28"/>
          <w:szCs w:val="28"/>
        </w:rPr>
        <w:t>II. Основные задачи, направления деятельности</w:t>
      </w:r>
      <w:r w:rsidRPr="00A3154D">
        <w:rPr>
          <w:rFonts w:ascii="Times New Roman" w:hAnsi="Times New Roman" w:cs="Times New Roman"/>
          <w:b/>
          <w:bCs/>
          <w:sz w:val="28"/>
          <w:szCs w:val="28"/>
        </w:rPr>
        <w:br/>
        <w:t>и функции Совета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 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7. Основными задачами Совета являются: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 xml:space="preserve">определение приоритетных направлений сотрудничества и принятие совместных эффективных </w:t>
      </w:r>
      <w:proofErr w:type="gramStart"/>
      <w:r w:rsidRPr="00A3154D">
        <w:rPr>
          <w:rFonts w:ascii="Times New Roman" w:hAnsi="Times New Roman" w:cs="Times New Roman"/>
          <w:sz w:val="28"/>
          <w:szCs w:val="28"/>
        </w:rPr>
        <w:t>мер  противодействия</w:t>
      </w:r>
      <w:proofErr w:type="gramEnd"/>
      <w:r w:rsidRPr="00A3154D">
        <w:rPr>
          <w:rFonts w:ascii="Times New Roman" w:hAnsi="Times New Roman" w:cs="Times New Roman"/>
          <w:sz w:val="28"/>
          <w:szCs w:val="28"/>
        </w:rPr>
        <w:t xml:space="preserve"> коррупции;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оценка выполнения антикоррупционных обязательств государств – участников Соглашения;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координация программ технического содействия в сфере противодействия коррупции между государствами – участниками Соглашения.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8. Основными направлениями деятельности Совета являются: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содействие сближению и гармонизации национального антикоррупционного законодательства государств – участников Соглашения;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разработка предложений по совершенствованию правовой базы сотрудничества государств – участников Соглашения в сфере противодействия коррупции;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lastRenderedPageBreak/>
        <w:t>координация взаимодействия компетентных органов государств – участников Соглашения, а также заинтересованных органов Содружества Независимых Государств по вопросам противодействия коррупции;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обеспечение реализации принятых в рамках Содружества Независимых Государств документов в сфере противодействия коррупции.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9. Основными функциями Совета являются: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участие в разработке целевых программ и предложений по приоритетным направлениям сотрудничества государств – участников Соглашения в сфере противодействия коррупции;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содействие обмену информацией по вопросам противодействия коррупции;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рассмотрение вопросов организации подготовки и повышения квалификации кадров по антикоррупционным программам государств – участников Соглашения по подготовке и переподготовке кадров по указанным программам;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рассмотрение вопросов проведения совместных научно-исследовательских работ по проблемам в сфере противодействия коррупции, представляющим взаимный интерес.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10. Совет осуществляет иные функции, входящие в его компетенцию.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 </w:t>
      </w:r>
    </w:p>
    <w:p w:rsidR="00A3154D" w:rsidRPr="00A3154D" w:rsidRDefault="00A3154D" w:rsidP="00A315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154D">
        <w:rPr>
          <w:rFonts w:ascii="Times New Roman" w:hAnsi="Times New Roman" w:cs="Times New Roman"/>
          <w:b/>
          <w:sz w:val="28"/>
          <w:szCs w:val="28"/>
        </w:rPr>
        <w:t>III. Права </w:t>
      </w:r>
      <w:r w:rsidRPr="00A3154D">
        <w:rPr>
          <w:rFonts w:ascii="Times New Roman" w:hAnsi="Times New Roman" w:cs="Times New Roman"/>
          <w:b/>
          <w:bCs/>
          <w:sz w:val="28"/>
          <w:szCs w:val="28"/>
        </w:rPr>
        <w:t>Совета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 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11. Совет имеет право: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принимать решения и рекомендации, направленные на развитие сотрудничества и взаимодействия компетентных органов государств – участников Соглашения по вопросам противодействия коррупции;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вносить в установленном порядке на рассмотрение Совета глав государств и Совета глав правительств Содружества Независимых Государств подготовленные Советом проекты документов, а также информацию о выполнении решений Совета глав государств и Совета глав правительств Содружества Независимых Государств, касающихся деятельности Совета;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координировать деятельность других органов отраслевого сотрудничества Содружества Независимых Государств, в компетенцию которых входит рассмотрение вопросов противодействия коррупции;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создавать при необходимости временные рабочие группы;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lastRenderedPageBreak/>
        <w:t>привлекать для выполнения отдельных работ ученых и специалистов;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направлять в заинтересованные органы Содружества Независимых Государств информацию по вопросам противодействия коррупции, а также публиковать ее в печатных изданиях органов Содружества Независимых Государств;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решать иные вопросы в пределах своей компетенции.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 </w:t>
      </w:r>
    </w:p>
    <w:p w:rsidR="00A3154D" w:rsidRPr="00A3154D" w:rsidRDefault="00A3154D" w:rsidP="00A315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A3154D">
        <w:rPr>
          <w:rFonts w:ascii="Times New Roman" w:hAnsi="Times New Roman" w:cs="Times New Roman"/>
          <w:b/>
          <w:sz w:val="28"/>
          <w:szCs w:val="28"/>
        </w:rPr>
        <w:t>IV. Организация деятельности Совета</w:t>
      </w:r>
    </w:p>
    <w:bookmarkEnd w:id="0"/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 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 xml:space="preserve">12. Членами Совета являются руководители (полномочные представители) уполномоченных компетентных и (или) специализированных органов государств – участников Содружества Независимых Государств в сфере противодействия коррупции. Каждое государство имеет в Совете один голос. Член Совета, не имеющий возможности прибыть на заседание, вправе делегировать своего представителя, наделенного полномочиями принимать решения на </w:t>
      </w:r>
      <w:proofErr w:type="gramStart"/>
      <w:r w:rsidRPr="00A3154D">
        <w:rPr>
          <w:rFonts w:ascii="Times New Roman" w:hAnsi="Times New Roman" w:cs="Times New Roman"/>
          <w:sz w:val="28"/>
          <w:szCs w:val="28"/>
        </w:rPr>
        <w:t>заседании  Совета</w:t>
      </w:r>
      <w:proofErr w:type="gramEnd"/>
      <w:r w:rsidRPr="00A3154D">
        <w:rPr>
          <w:rFonts w:ascii="Times New Roman" w:hAnsi="Times New Roman" w:cs="Times New Roman"/>
          <w:sz w:val="28"/>
          <w:szCs w:val="28"/>
        </w:rPr>
        <w:t>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Представители государств, не являющихся участниками Содружества Независимых Государств, но присоединившихся к Соглашению, участвуют в работе Совета с правом совещательного голоса.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 xml:space="preserve">В состав Совета с правом совещательного голоса могут входить руководитель </w:t>
      </w:r>
      <w:proofErr w:type="gramStart"/>
      <w:r w:rsidRPr="00A3154D">
        <w:rPr>
          <w:rFonts w:ascii="Times New Roman" w:hAnsi="Times New Roman" w:cs="Times New Roman"/>
          <w:sz w:val="28"/>
          <w:szCs w:val="28"/>
        </w:rPr>
        <w:t>Секретариата  Совета</w:t>
      </w:r>
      <w:proofErr w:type="gramEnd"/>
      <w:r w:rsidRPr="00A3154D">
        <w:rPr>
          <w:rFonts w:ascii="Times New Roman" w:hAnsi="Times New Roman" w:cs="Times New Roman"/>
          <w:sz w:val="28"/>
          <w:szCs w:val="28"/>
        </w:rPr>
        <w:t>, представитель Исполнительного комитета Содружества Независимых Государств, а также руководители секретариатов заинтересованных органов отраслевого сотрудничества государств – участников Содружества Независимых Государств.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13. Председательство в Совете осуществляется поочередно каждым членом Совета на основе принципа ротации в порядке русского алфавита в течение не более одного года, если иное не будет установлено решением Совета. Предшествующий и последующий председатели Совета являются его сопредседателями.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В случае временного отсутствия председателя Совета его обязанности возлагаются на одного из сопредседателей.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14. Заседания Совета проводятся не реже одного раза в год.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15. По мере необходимости могут созываться внеочередные заседания Совета.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 xml:space="preserve">Внеочередное заседание Совета созывается председателем по его инициативе или по предложению не менее трех </w:t>
      </w:r>
      <w:proofErr w:type="gramStart"/>
      <w:r w:rsidRPr="00A3154D">
        <w:rPr>
          <w:rFonts w:ascii="Times New Roman" w:hAnsi="Times New Roman" w:cs="Times New Roman"/>
          <w:sz w:val="28"/>
          <w:szCs w:val="28"/>
        </w:rPr>
        <w:t>членов  Совета</w:t>
      </w:r>
      <w:proofErr w:type="gramEnd"/>
      <w:r w:rsidRPr="00A3154D">
        <w:rPr>
          <w:rFonts w:ascii="Times New Roman" w:hAnsi="Times New Roman" w:cs="Times New Roman"/>
          <w:sz w:val="28"/>
          <w:szCs w:val="28"/>
        </w:rPr>
        <w:t>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lastRenderedPageBreak/>
        <w:t>16. Место проведения заседания Совета определяется по предварительной договоренности членов Совета.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17. Порядок созыва заседаний Совета, их проведения, кворум, процедура принятия решений и рекомендаций, а также другие вопросы его деятельности определяются регламентом, утвержденным Советом.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18. </w:t>
      </w:r>
      <w:proofErr w:type="gramStart"/>
      <w:r w:rsidRPr="00A3154D">
        <w:rPr>
          <w:rFonts w:ascii="Times New Roman" w:hAnsi="Times New Roman" w:cs="Times New Roman"/>
          <w:sz w:val="28"/>
          <w:szCs w:val="28"/>
        </w:rPr>
        <w:t>Председатель  Совета</w:t>
      </w:r>
      <w:proofErr w:type="gramEnd"/>
      <w:r w:rsidRPr="00A3154D">
        <w:rPr>
          <w:rFonts w:ascii="Times New Roman" w:hAnsi="Times New Roman" w:cs="Times New Roman"/>
          <w:sz w:val="28"/>
          <w:szCs w:val="28"/>
        </w:rPr>
        <w:t>: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осуществляет общее руководство деятельностью Совета, его Секретариата и временных рабочих групп;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проводит заседания Совета;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содействует выполнению решений Совета глав государств и Совета глав правительств Содружества Независимых Государств о противодействии коррупции;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подписывает документы от имени Совета;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представляет в установленном порядке интересы Совета;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поддерживает и развивает по поручению Совета контакты с органами Содружества Независимых Государств, международными организациями и их структурами в пределах своей компетенции;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содействует взаимодействию между компетентными органами государств – участников Соглашения, осуществляющими противодействие коррупции;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осуществляет иные действия, связанные с обеспечением деятельности Совета.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 </w:t>
      </w:r>
    </w:p>
    <w:p w:rsidR="00A3154D" w:rsidRPr="00A3154D" w:rsidRDefault="00A3154D" w:rsidP="00A315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154D">
        <w:rPr>
          <w:rFonts w:ascii="Times New Roman" w:hAnsi="Times New Roman" w:cs="Times New Roman"/>
          <w:b/>
          <w:sz w:val="28"/>
          <w:szCs w:val="28"/>
        </w:rPr>
        <w:t>V. Секретариат </w:t>
      </w:r>
      <w:r w:rsidRPr="00A3154D">
        <w:rPr>
          <w:rFonts w:ascii="Times New Roman" w:hAnsi="Times New Roman" w:cs="Times New Roman"/>
          <w:b/>
          <w:bCs/>
          <w:sz w:val="28"/>
          <w:szCs w:val="28"/>
        </w:rPr>
        <w:t>Совета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 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19. Организационно-техническое и информационное обеспечение деятельности Совета осуществляется Секретариатом.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20. Функции Секретариата выполняет уполномоченный компетентный и (или) специализированный орган государства – участника Соглашения в сфере противодействия коррупции, руководитель (полномочный представитель) которого председательствует в Совете, совместно со структурным подразделением Исполнительного комитета Содружества Независимых Государств.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lastRenderedPageBreak/>
        <w:t>21. Руководителем Секретариата является представитель уполномоченного компетентного и (или) специализированного органа государства – участника Содружества Независимых Государств в сфере противодействия коррупции, руководитель (полномочный представитель) которого председательствует в Совете, а заместителем руководителя Секретариата – представитель Исполнительного комитета Содружества Независимых Государств.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 xml:space="preserve">22. Деятельность Секретариата определяется положением, </w:t>
      </w:r>
      <w:proofErr w:type="gramStart"/>
      <w:r w:rsidRPr="00A3154D">
        <w:rPr>
          <w:rFonts w:ascii="Times New Roman" w:hAnsi="Times New Roman" w:cs="Times New Roman"/>
          <w:sz w:val="28"/>
          <w:szCs w:val="28"/>
        </w:rPr>
        <w:t>утвержденным  Советом</w:t>
      </w:r>
      <w:proofErr w:type="gramEnd"/>
      <w:r w:rsidRPr="00A3154D">
        <w:rPr>
          <w:rFonts w:ascii="Times New Roman" w:hAnsi="Times New Roman" w:cs="Times New Roman"/>
          <w:sz w:val="28"/>
          <w:szCs w:val="28"/>
        </w:rPr>
        <w:t>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 </w:t>
      </w:r>
    </w:p>
    <w:p w:rsidR="00A3154D" w:rsidRPr="00A3154D" w:rsidRDefault="00A3154D" w:rsidP="00A315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154D">
        <w:rPr>
          <w:rFonts w:ascii="Times New Roman" w:hAnsi="Times New Roman" w:cs="Times New Roman"/>
          <w:b/>
          <w:sz w:val="28"/>
          <w:szCs w:val="28"/>
        </w:rPr>
        <w:t>VI. Финансирование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 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23. Расходы, связанные с финансированием заседаний Совета, осуществляются за счет соответствующих органов государственной власти принимающего государства – участника Соглашения.</w:t>
      </w:r>
    </w:p>
    <w:p w:rsidR="00A3154D" w:rsidRPr="00A3154D" w:rsidRDefault="00A3154D" w:rsidP="00A3154D">
      <w:pPr>
        <w:rPr>
          <w:rFonts w:ascii="Times New Roman" w:hAnsi="Times New Roman" w:cs="Times New Roman"/>
          <w:sz w:val="28"/>
          <w:szCs w:val="28"/>
        </w:rPr>
      </w:pPr>
      <w:r w:rsidRPr="00A3154D">
        <w:rPr>
          <w:rFonts w:ascii="Times New Roman" w:hAnsi="Times New Roman" w:cs="Times New Roman"/>
          <w:sz w:val="28"/>
          <w:szCs w:val="28"/>
        </w:rPr>
        <w:t>24. Расходы на командирование членов Совета и участников его заседаний осуществляются соответствующими органами государственной власти направляющих государств – участников Соглашения и органами Содружества Независимых Государств.</w:t>
      </w:r>
    </w:p>
    <w:p w:rsidR="00A12473" w:rsidRPr="00A3154D" w:rsidRDefault="00A12473">
      <w:pPr>
        <w:rPr>
          <w:rFonts w:ascii="Times New Roman" w:hAnsi="Times New Roman" w:cs="Times New Roman"/>
          <w:sz w:val="28"/>
          <w:szCs w:val="28"/>
        </w:rPr>
      </w:pPr>
    </w:p>
    <w:sectPr w:rsidR="00A12473" w:rsidRPr="00A315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4D"/>
    <w:rsid w:val="00010B82"/>
    <w:rsid w:val="00010B9F"/>
    <w:rsid w:val="000456BB"/>
    <w:rsid w:val="00047673"/>
    <w:rsid w:val="00050B23"/>
    <w:rsid w:val="00051B9C"/>
    <w:rsid w:val="00060AD0"/>
    <w:rsid w:val="000674A8"/>
    <w:rsid w:val="0008455B"/>
    <w:rsid w:val="000B0A13"/>
    <w:rsid w:val="000B5425"/>
    <w:rsid w:val="000C7E19"/>
    <w:rsid w:val="000E31A1"/>
    <w:rsid w:val="000F1757"/>
    <w:rsid w:val="000F1C3C"/>
    <w:rsid w:val="00127373"/>
    <w:rsid w:val="001335ED"/>
    <w:rsid w:val="001420B0"/>
    <w:rsid w:val="00150E49"/>
    <w:rsid w:val="00166E75"/>
    <w:rsid w:val="00170F64"/>
    <w:rsid w:val="00174056"/>
    <w:rsid w:val="00196584"/>
    <w:rsid w:val="001B0919"/>
    <w:rsid w:val="001C5D8D"/>
    <w:rsid w:val="001D2512"/>
    <w:rsid w:val="001D6B29"/>
    <w:rsid w:val="001F30F5"/>
    <w:rsid w:val="001F3263"/>
    <w:rsid w:val="002119DC"/>
    <w:rsid w:val="00225BAA"/>
    <w:rsid w:val="00231FEC"/>
    <w:rsid w:val="00243F41"/>
    <w:rsid w:val="002445B8"/>
    <w:rsid w:val="00254F30"/>
    <w:rsid w:val="00267C6E"/>
    <w:rsid w:val="00274B0E"/>
    <w:rsid w:val="002B2DCB"/>
    <w:rsid w:val="002E4D00"/>
    <w:rsid w:val="002F4EF8"/>
    <w:rsid w:val="002F5D03"/>
    <w:rsid w:val="003030A1"/>
    <w:rsid w:val="0031019B"/>
    <w:rsid w:val="00313973"/>
    <w:rsid w:val="003150C6"/>
    <w:rsid w:val="00330399"/>
    <w:rsid w:val="003305C1"/>
    <w:rsid w:val="00350080"/>
    <w:rsid w:val="003550DB"/>
    <w:rsid w:val="003648FA"/>
    <w:rsid w:val="003661B4"/>
    <w:rsid w:val="00376080"/>
    <w:rsid w:val="00381AF9"/>
    <w:rsid w:val="00390C68"/>
    <w:rsid w:val="003B306F"/>
    <w:rsid w:val="003C00A0"/>
    <w:rsid w:val="003E001A"/>
    <w:rsid w:val="003E31E5"/>
    <w:rsid w:val="003F2420"/>
    <w:rsid w:val="003F469C"/>
    <w:rsid w:val="00411C4B"/>
    <w:rsid w:val="00425623"/>
    <w:rsid w:val="00427829"/>
    <w:rsid w:val="00436958"/>
    <w:rsid w:val="004454ED"/>
    <w:rsid w:val="00447CFB"/>
    <w:rsid w:val="0045108D"/>
    <w:rsid w:val="00455EEB"/>
    <w:rsid w:val="004604F8"/>
    <w:rsid w:val="00465EE0"/>
    <w:rsid w:val="00472F07"/>
    <w:rsid w:val="004904F4"/>
    <w:rsid w:val="004A231F"/>
    <w:rsid w:val="004A6459"/>
    <w:rsid w:val="004A7809"/>
    <w:rsid w:val="004B4367"/>
    <w:rsid w:val="004C3A85"/>
    <w:rsid w:val="004C735B"/>
    <w:rsid w:val="004D36D9"/>
    <w:rsid w:val="004E18D9"/>
    <w:rsid w:val="004F6B5F"/>
    <w:rsid w:val="0052503F"/>
    <w:rsid w:val="00525CB7"/>
    <w:rsid w:val="005311EC"/>
    <w:rsid w:val="00536E21"/>
    <w:rsid w:val="005431D2"/>
    <w:rsid w:val="00547C0A"/>
    <w:rsid w:val="00553008"/>
    <w:rsid w:val="00554857"/>
    <w:rsid w:val="00555CB8"/>
    <w:rsid w:val="005624F7"/>
    <w:rsid w:val="005642A0"/>
    <w:rsid w:val="00570262"/>
    <w:rsid w:val="00574A5D"/>
    <w:rsid w:val="00577D79"/>
    <w:rsid w:val="0058588C"/>
    <w:rsid w:val="005877D8"/>
    <w:rsid w:val="005C041A"/>
    <w:rsid w:val="005D4912"/>
    <w:rsid w:val="005D60A0"/>
    <w:rsid w:val="005E6C27"/>
    <w:rsid w:val="005F5B95"/>
    <w:rsid w:val="00601644"/>
    <w:rsid w:val="00606D15"/>
    <w:rsid w:val="006128B8"/>
    <w:rsid w:val="0062528C"/>
    <w:rsid w:val="006375E0"/>
    <w:rsid w:val="00641180"/>
    <w:rsid w:val="00647764"/>
    <w:rsid w:val="00660E70"/>
    <w:rsid w:val="006642BA"/>
    <w:rsid w:val="00665251"/>
    <w:rsid w:val="006703FB"/>
    <w:rsid w:val="00680F11"/>
    <w:rsid w:val="00685B72"/>
    <w:rsid w:val="00694548"/>
    <w:rsid w:val="00694D8D"/>
    <w:rsid w:val="0069586A"/>
    <w:rsid w:val="006B2EBA"/>
    <w:rsid w:val="006B681E"/>
    <w:rsid w:val="006C16D9"/>
    <w:rsid w:val="006C6234"/>
    <w:rsid w:val="006D0A95"/>
    <w:rsid w:val="006D2BCC"/>
    <w:rsid w:val="006E0D12"/>
    <w:rsid w:val="006E137E"/>
    <w:rsid w:val="006E6EA0"/>
    <w:rsid w:val="006E7957"/>
    <w:rsid w:val="006F155E"/>
    <w:rsid w:val="006F1CAC"/>
    <w:rsid w:val="007019E7"/>
    <w:rsid w:val="00723AEC"/>
    <w:rsid w:val="007301CA"/>
    <w:rsid w:val="00732DC9"/>
    <w:rsid w:val="007412EB"/>
    <w:rsid w:val="00742382"/>
    <w:rsid w:val="00745A5A"/>
    <w:rsid w:val="007565BB"/>
    <w:rsid w:val="0076442D"/>
    <w:rsid w:val="00781307"/>
    <w:rsid w:val="007A5186"/>
    <w:rsid w:val="007A5373"/>
    <w:rsid w:val="007A704D"/>
    <w:rsid w:val="007B081D"/>
    <w:rsid w:val="007D257B"/>
    <w:rsid w:val="007E1C73"/>
    <w:rsid w:val="007E1F88"/>
    <w:rsid w:val="007E59AB"/>
    <w:rsid w:val="007E5ABC"/>
    <w:rsid w:val="007E7F35"/>
    <w:rsid w:val="007F2905"/>
    <w:rsid w:val="00800E8B"/>
    <w:rsid w:val="00823922"/>
    <w:rsid w:val="008240C3"/>
    <w:rsid w:val="0084286D"/>
    <w:rsid w:val="00857EF0"/>
    <w:rsid w:val="00865882"/>
    <w:rsid w:val="00870B76"/>
    <w:rsid w:val="008734D1"/>
    <w:rsid w:val="00877ADA"/>
    <w:rsid w:val="00893458"/>
    <w:rsid w:val="00893E9F"/>
    <w:rsid w:val="008953C5"/>
    <w:rsid w:val="008A0944"/>
    <w:rsid w:val="008A254C"/>
    <w:rsid w:val="008A4359"/>
    <w:rsid w:val="008B0204"/>
    <w:rsid w:val="008B50F9"/>
    <w:rsid w:val="008C093D"/>
    <w:rsid w:val="008D039F"/>
    <w:rsid w:val="008D14CB"/>
    <w:rsid w:val="008D6924"/>
    <w:rsid w:val="008E001D"/>
    <w:rsid w:val="008E2B5D"/>
    <w:rsid w:val="008F69EE"/>
    <w:rsid w:val="008F79C1"/>
    <w:rsid w:val="00900F89"/>
    <w:rsid w:val="00911161"/>
    <w:rsid w:val="0091386C"/>
    <w:rsid w:val="009265C8"/>
    <w:rsid w:val="00941DA4"/>
    <w:rsid w:val="0094335C"/>
    <w:rsid w:val="0094361F"/>
    <w:rsid w:val="00957B29"/>
    <w:rsid w:val="009640B6"/>
    <w:rsid w:val="00981DD0"/>
    <w:rsid w:val="009836B0"/>
    <w:rsid w:val="00984C86"/>
    <w:rsid w:val="009870FA"/>
    <w:rsid w:val="00990AA4"/>
    <w:rsid w:val="009A2C89"/>
    <w:rsid w:val="009A3F9E"/>
    <w:rsid w:val="009C13F6"/>
    <w:rsid w:val="009C443B"/>
    <w:rsid w:val="009D079E"/>
    <w:rsid w:val="009E04B8"/>
    <w:rsid w:val="009E438F"/>
    <w:rsid w:val="00A05E78"/>
    <w:rsid w:val="00A12473"/>
    <w:rsid w:val="00A3154D"/>
    <w:rsid w:val="00A52579"/>
    <w:rsid w:val="00A74938"/>
    <w:rsid w:val="00A86D6C"/>
    <w:rsid w:val="00A9615C"/>
    <w:rsid w:val="00AA47EB"/>
    <w:rsid w:val="00AA5387"/>
    <w:rsid w:val="00AB16D7"/>
    <w:rsid w:val="00AB2CDE"/>
    <w:rsid w:val="00AB7C74"/>
    <w:rsid w:val="00AC641D"/>
    <w:rsid w:val="00AE51F6"/>
    <w:rsid w:val="00B07246"/>
    <w:rsid w:val="00B11391"/>
    <w:rsid w:val="00B21999"/>
    <w:rsid w:val="00B23B69"/>
    <w:rsid w:val="00B4753E"/>
    <w:rsid w:val="00B64E11"/>
    <w:rsid w:val="00B64E44"/>
    <w:rsid w:val="00B818EC"/>
    <w:rsid w:val="00B900F2"/>
    <w:rsid w:val="00B92F44"/>
    <w:rsid w:val="00B939BE"/>
    <w:rsid w:val="00BA4A2A"/>
    <w:rsid w:val="00BA78D1"/>
    <w:rsid w:val="00BB3145"/>
    <w:rsid w:val="00BC015C"/>
    <w:rsid w:val="00BC07F3"/>
    <w:rsid w:val="00BC310F"/>
    <w:rsid w:val="00BD0829"/>
    <w:rsid w:val="00BD306E"/>
    <w:rsid w:val="00BD7E73"/>
    <w:rsid w:val="00BE371D"/>
    <w:rsid w:val="00C17386"/>
    <w:rsid w:val="00C20DFE"/>
    <w:rsid w:val="00C20F27"/>
    <w:rsid w:val="00C36247"/>
    <w:rsid w:val="00C4192D"/>
    <w:rsid w:val="00C4328A"/>
    <w:rsid w:val="00C53534"/>
    <w:rsid w:val="00C55D75"/>
    <w:rsid w:val="00C56028"/>
    <w:rsid w:val="00C60A85"/>
    <w:rsid w:val="00C66C70"/>
    <w:rsid w:val="00C7752A"/>
    <w:rsid w:val="00C84A37"/>
    <w:rsid w:val="00C92180"/>
    <w:rsid w:val="00CA00EF"/>
    <w:rsid w:val="00CB12D8"/>
    <w:rsid w:val="00CC2A65"/>
    <w:rsid w:val="00CC39D2"/>
    <w:rsid w:val="00CC6217"/>
    <w:rsid w:val="00CD4F27"/>
    <w:rsid w:val="00D007E3"/>
    <w:rsid w:val="00D1182E"/>
    <w:rsid w:val="00D20947"/>
    <w:rsid w:val="00D40DE5"/>
    <w:rsid w:val="00D4326C"/>
    <w:rsid w:val="00D449E0"/>
    <w:rsid w:val="00D45470"/>
    <w:rsid w:val="00D45D64"/>
    <w:rsid w:val="00D61114"/>
    <w:rsid w:val="00D648AD"/>
    <w:rsid w:val="00D6529C"/>
    <w:rsid w:val="00D83B65"/>
    <w:rsid w:val="00D932B1"/>
    <w:rsid w:val="00DA3786"/>
    <w:rsid w:val="00DA589C"/>
    <w:rsid w:val="00DB1212"/>
    <w:rsid w:val="00DE6271"/>
    <w:rsid w:val="00DF3495"/>
    <w:rsid w:val="00E0468E"/>
    <w:rsid w:val="00E1137D"/>
    <w:rsid w:val="00E22A4A"/>
    <w:rsid w:val="00E302E3"/>
    <w:rsid w:val="00E30362"/>
    <w:rsid w:val="00E31619"/>
    <w:rsid w:val="00E47D9B"/>
    <w:rsid w:val="00E6311B"/>
    <w:rsid w:val="00E80012"/>
    <w:rsid w:val="00EA77AC"/>
    <w:rsid w:val="00EB5ACE"/>
    <w:rsid w:val="00EC0232"/>
    <w:rsid w:val="00EC1157"/>
    <w:rsid w:val="00ED477F"/>
    <w:rsid w:val="00EE1995"/>
    <w:rsid w:val="00EE633A"/>
    <w:rsid w:val="00EE7091"/>
    <w:rsid w:val="00F014FA"/>
    <w:rsid w:val="00F04507"/>
    <w:rsid w:val="00F12F46"/>
    <w:rsid w:val="00F16DA2"/>
    <w:rsid w:val="00F205DD"/>
    <w:rsid w:val="00F33B5E"/>
    <w:rsid w:val="00F42CC2"/>
    <w:rsid w:val="00F453C2"/>
    <w:rsid w:val="00F50170"/>
    <w:rsid w:val="00F527C6"/>
    <w:rsid w:val="00F57D0C"/>
    <w:rsid w:val="00F77924"/>
    <w:rsid w:val="00F910D7"/>
    <w:rsid w:val="00F9523F"/>
    <w:rsid w:val="00FA0F00"/>
    <w:rsid w:val="00FB2395"/>
    <w:rsid w:val="00FB5703"/>
    <w:rsid w:val="00FC05FF"/>
    <w:rsid w:val="00FC4175"/>
    <w:rsid w:val="00FD052C"/>
    <w:rsid w:val="00FF6796"/>
    <w:rsid w:val="00FF6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6B25A5-8B62-40A9-AB49-5D788D5CE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4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1860</Words>
  <Characters>10606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1</cp:revision>
  <dcterms:created xsi:type="dcterms:W3CDTF">2018-06-19T14:43:00Z</dcterms:created>
  <dcterms:modified xsi:type="dcterms:W3CDTF">2018-06-19T14:46:00Z</dcterms:modified>
</cp:coreProperties>
</file>