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4A" w:rsidRPr="00450F4A" w:rsidRDefault="008D48D9" w:rsidP="004A35EE">
      <w:pPr>
        <w:pStyle w:val="tkNazvanie"/>
        <w:spacing w:before="0" w:after="0" w:line="240" w:lineRule="auto"/>
        <w:ind w:left="5103" w:right="-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</w:pPr>
      <w:r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Кыргыз Республикасынын </w:t>
      </w:r>
      <w:r w:rsid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yellow"/>
          <w:lang w:val="ky-KG"/>
        </w:rPr>
        <w:br/>
      </w:r>
      <w:r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2021-2025-жылдарга карата жылуулук энергиясына жана ысык суу менен камсыз</w:t>
      </w:r>
      <w:r w:rsidR="00450F4A"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доого</w:t>
      </w:r>
      <w:r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орто мөөнөттүү тарифтик саясатына</w:t>
      </w:r>
      <w:r w:rsidR="00450F4A"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</w:p>
    <w:p w:rsidR="008D48D9" w:rsidRPr="006F7B50" w:rsidRDefault="003135C4" w:rsidP="004A35EE">
      <w:pPr>
        <w:pStyle w:val="tkNazvanie"/>
        <w:spacing w:before="0" w:after="0" w:line="240" w:lineRule="auto"/>
        <w:ind w:left="5103" w:right="-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</w:pPr>
      <w:r w:rsidRPr="00450F4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1-тиркеме</w:t>
      </w:r>
      <w:r w:rsidRPr="006F7B50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</w:p>
    <w:p w:rsidR="003135C4" w:rsidRPr="006F7B50" w:rsidRDefault="003135C4" w:rsidP="003135C4">
      <w:pPr>
        <w:pStyle w:val="tkNazvanie"/>
        <w:spacing w:before="0" w:after="0" w:line="240" w:lineRule="auto"/>
        <w:ind w:left="0" w:right="-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</w:pPr>
    </w:p>
    <w:p w:rsidR="00307DAF" w:rsidRDefault="00FF6E6D" w:rsidP="00920E37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6F7B5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2021-2025-жылдарга карата акыркы керектөөчүлөр үчүн жылуулук энерг</w:t>
      </w:r>
      <w:bookmarkStart w:id="0" w:name="_GoBack"/>
      <w:bookmarkEnd w:id="0"/>
      <w:r w:rsidRPr="006F7B5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иясына жана ысык сууга </w:t>
      </w:r>
    </w:p>
    <w:p w:rsidR="00FF6E6D" w:rsidRPr="006F7B50" w:rsidRDefault="00FF6E6D" w:rsidP="00920E37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6F7B5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тарифтер</w:t>
      </w:r>
    </w:p>
    <w:p w:rsidR="00920E37" w:rsidRPr="006F7B50" w:rsidRDefault="00920E37" w:rsidP="00920E37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17"/>
        <w:gridCol w:w="1915"/>
        <w:gridCol w:w="1091"/>
        <w:gridCol w:w="918"/>
        <w:gridCol w:w="1183"/>
        <w:gridCol w:w="1107"/>
        <w:gridCol w:w="1133"/>
        <w:gridCol w:w="1134"/>
      </w:tblGrid>
      <w:tr w:rsidR="00FF6E6D" w:rsidRPr="006F7B50" w:rsidTr="00F6520D">
        <w:trPr>
          <w:trHeight w:val="304"/>
          <w:jc w:val="center"/>
        </w:trPr>
        <w:tc>
          <w:tcPr>
            <w:tcW w:w="417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915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Керектөөчүлөр</w:t>
            </w:r>
            <w:r w:rsidR="00307D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-</w:t>
            </w:r>
            <w:r w:rsidRPr="006F7B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дүн тобу</w:t>
            </w:r>
          </w:p>
        </w:tc>
        <w:tc>
          <w:tcPr>
            <w:tcW w:w="1091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307DAF" w:rsidRDefault="00307DAF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Өлчөө</w:t>
            </w:r>
          </w:p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бирдиги</w:t>
            </w:r>
          </w:p>
        </w:tc>
        <w:tc>
          <w:tcPr>
            <w:tcW w:w="5475" w:type="dxa"/>
            <w:gridSpan w:val="5"/>
            <w:shd w:val="clear" w:color="auto" w:fill="FFFFFF" w:themeFill="background1"/>
            <w:noWrap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Дата</w:t>
            </w:r>
          </w:p>
        </w:tc>
      </w:tr>
      <w:tr w:rsidR="006F7B50" w:rsidRPr="006F7B50" w:rsidTr="00F6520D">
        <w:trPr>
          <w:trHeight w:val="205"/>
          <w:jc w:val="center"/>
        </w:trPr>
        <w:tc>
          <w:tcPr>
            <w:tcW w:w="417" w:type="dxa"/>
            <w:vMerge/>
            <w:shd w:val="clear" w:color="auto" w:fill="FFFFFF" w:themeFill="background1"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 w:themeFill="background1"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FFFFFF" w:themeFill="background1"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 w:themeFill="background1"/>
            <w:noWrap/>
            <w:vAlign w:val="center"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2021-ж.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</w:tcPr>
          <w:p w:rsidR="00FF6E6D" w:rsidRPr="006F7B50" w:rsidRDefault="00307DAF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2022-</w:t>
            </w:r>
            <w:r w:rsidR="006463EB"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ж.</w:t>
            </w: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01.06.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</w:tcPr>
          <w:p w:rsidR="00FF6E6D" w:rsidRPr="006F7B50" w:rsidRDefault="00FF6E6D" w:rsidP="00307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2023</w:t>
            </w:r>
            <w:r w:rsidR="00307D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  <w:r w:rsidR="006463EB"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ж.</w:t>
            </w:r>
            <w:r w:rsidR="00307DAF"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01.06.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</w:tcPr>
          <w:p w:rsidR="00FF6E6D" w:rsidRPr="006F7B50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2024-ж.</w:t>
            </w:r>
            <w:r w:rsidR="00307DAF"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01.06.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FF6E6D" w:rsidRPr="006F7B50" w:rsidRDefault="006463EB" w:rsidP="00646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2025-ж.</w:t>
            </w:r>
            <w:r w:rsidR="00307DAF"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01.06.</w:t>
            </w:r>
          </w:p>
        </w:tc>
      </w:tr>
      <w:tr w:rsidR="00FF6E6D" w:rsidRPr="006F7B50" w:rsidTr="00F6520D">
        <w:trPr>
          <w:trHeight w:val="474"/>
          <w:jc w:val="center"/>
        </w:trPr>
        <w:tc>
          <w:tcPr>
            <w:tcW w:w="8898" w:type="dxa"/>
            <w:gridSpan w:val="8"/>
            <w:shd w:val="clear" w:color="auto" w:fill="FFFFFF" w:themeFill="background1"/>
            <w:noWrap/>
            <w:vAlign w:val="center"/>
            <w:hideMark/>
          </w:tcPr>
          <w:p w:rsidR="00FF6E6D" w:rsidRPr="006F7B50" w:rsidRDefault="00FF6E6D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ky-KG"/>
              </w:rPr>
              <w:t>Жылытуу максатындагы жылуулук энергиясына тарифтер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Калк(*)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 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1134,76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1248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1373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1510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F7B50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6463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Өнөр жай(**)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 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07DAF" w:rsidP="00646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E0724"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="006463EB"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Бюджеттик керектөөчүлөр(**)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 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07DAF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3EB"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Башка керектөөчүлөр(**)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 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07DAF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3EB" w:rsidRPr="00307D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07DA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9E0724" w:rsidRPr="006F7B50" w:rsidTr="00F6520D">
        <w:trPr>
          <w:trHeight w:val="443"/>
          <w:jc w:val="center"/>
        </w:trPr>
        <w:tc>
          <w:tcPr>
            <w:tcW w:w="8898" w:type="dxa"/>
            <w:gridSpan w:val="8"/>
            <w:shd w:val="clear" w:color="auto" w:fill="FFFFFF" w:themeFill="background1"/>
            <w:noWrap/>
            <w:vAlign w:val="center"/>
            <w:hideMark/>
          </w:tcPr>
          <w:p w:rsidR="009E0724" w:rsidRPr="00307DAF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y-KG"/>
              </w:rPr>
              <w:t>Ысык сууга тарифтер</w:t>
            </w:r>
          </w:p>
        </w:tc>
      </w:tr>
      <w:tr w:rsidR="006F7B50" w:rsidRPr="006F7B50" w:rsidTr="00F6520D">
        <w:trPr>
          <w:trHeight w:val="958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Калк (ысык суу түрүндөгү жылуулук энергиясы үчүн)(*)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 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7D5E14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E14">
              <w:rPr>
                <w:rFonts w:ascii="Times New Roman" w:hAnsi="Times New Roman" w:cs="Times New Roman"/>
                <w:sz w:val="20"/>
                <w:szCs w:val="20"/>
              </w:rPr>
              <w:t>981,76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1120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1277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1456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307DAF" w:rsidRDefault="006463EB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F7B50"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356E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 xml:space="preserve">Калк (эсепке алуу </w:t>
            </w:r>
            <w:r w:rsidR="00356E59" w:rsidRPr="00450F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приборлору</w:t>
            </w: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 xml:space="preserve"> боюнча ысык суу үчүн)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сом/м3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7D5E14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E14">
              <w:rPr>
                <w:rFonts w:ascii="Times New Roman" w:hAnsi="Times New Roman" w:cs="Times New Roman"/>
                <w:sz w:val="20"/>
                <w:szCs w:val="20"/>
              </w:rPr>
              <w:t>64,38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11,7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11,8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12,0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12,1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</w:tr>
      <w:tr w:rsidR="006F7B50" w:rsidRPr="006F7B50" w:rsidTr="00F6520D">
        <w:trPr>
          <w:trHeight w:val="58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Калк (1 адамга керектөө ченеми боюнча ысык суу үчүн)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787A0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</w:t>
            </w:r>
          </w:p>
          <w:p w:rsidR="006F7B50" w:rsidRPr="00787A0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ай</w:t>
            </w:r>
            <w:r w:rsidR="00787A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ына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7D5E14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E14">
              <w:rPr>
                <w:rFonts w:ascii="Times New Roman" w:hAnsi="Times New Roman" w:cs="Times New Roman"/>
                <w:sz w:val="20"/>
                <w:szCs w:val="20"/>
              </w:rPr>
              <w:t>309,03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6F7B50" w:rsidRPr="006F7B50" w:rsidRDefault="006F7B50" w:rsidP="006F7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11,7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11,8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12,0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6F7B50" w:rsidRPr="00307DAF" w:rsidRDefault="006F7B50" w:rsidP="006F7B5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12,1</w:t>
            </w:r>
            <w:r w:rsidR="00356E59">
              <w:rPr>
                <w:rFonts w:ascii="Times New Roman" w:hAnsi="Times New Roman" w:cs="Times New Roman"/>
                <w:iCs/>
                <w:sz w:val="20"/>
                <w:szCs w:val="20"/>
                <w:lang w:val="ky-KG"/>
              </w:rPr>
              <w:t xml:space="preserve"> </w:t>
            </w:r>
            <w:r w:rsidRPr="00307DAF">
              <w:rPr>
                <w:rFonts w:ascii="Times New Roman" w:hAnsi="Times New Roman" w:cs="Times New Roman"/>
                <w:iCs/>
                <w:sz w:val="20"/>
                <w:szCs w:val="20"/>
              </w:rPr>
              <w:t>%</w:t>
            </w:r>
          </w:p>
        </w:tc>
      </w:tr>
      <w:tr w:rsidR="006F7B50" w:rsidRPr="006F7B50" w:rsidTr="00F6520D">
        <w:trPr>
          <w:trHeight w:val="58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Бардык калган керектөөчүлөр (ысык суу түрүндөгү жылуулук энергиясы үчүн)</w:t>
            </w:r>
            <w:r w:rsid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(**)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сом/Гкал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787A00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37EC1" w:rsidRPr="006F7B50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F7B50" w:rsidRPr="006F7B50" w:rsidTr="00F6520D">
        <w:trPr>
          <w:trHeight w:val="548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Өнөр жай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сом/м3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A977EC" w:rsidRPr="00356E59" w:rsidRDefault="00A977EC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A977EC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A977EC"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A977EC" w:rsidRPr="006F7B50" w:rsidRDefault="00A977EC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Бюджеттик керектөөчүлөр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сом/м3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Башка керектөөчүлөр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сом/м3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366859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sz w:val="20"/>
                <w:szCs w:val="20"/>
              </w:rPr>
              <w:t>тариф + инфляция</w:t>
            </w:r>
          </w:p>
        </w:tc>
      </w:tr>
      <w:tr w:rsidR="006F7B50" w:rsidRPr="006F7B50" w:rsidTr="00F6520D">
        <w:trPr>
          <w:trHeight w:val="290"/>
          <w:jc w:val="center"/>
        </w:trPr>
        <w:tc>
          <w:tcPr>
            <w:tcW w:w="41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15" w:type="dxa"/>
            <w:shd w:val="clear" w:color="auto" w:fill="FFFFFF" w:themeFill="background1"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B5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y-KG"/>
              </w:rPr>
              <w:t>Өсүү</w:t>
            </w:r>
          </w:p>
        </w:tc>
        <w:tc>
          <w:tcPr>
            <w:tcW w:w="1091" w:type="dxa"/>
            <w:shd w:val="clear" w:color="auto" w:fill="FFFFFF" w:themeFill="background1"/>
            <w:noWrap/>
            <w:vAlign w:val="bottom"/>
            <w:hideMark/>
          </w:tcPr>
          <w:p w:rsidR="009E0724" w:rsidRPr="00356E59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FFFFFF" w:themeFill="background1"/>
            <w:noWrap/>
            <w:vAlign w:val="center"/>
            <w:hideMark/>
          </w:tcPr>
          <w:p w:rsidR="009E0724" w:rsidRPr="00356E59" w:rsidRDefault="00737EC1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6,3</w:t>
            </w:r>
            <w:r w:rsid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ky-KG"/>
              </w:rPr>
              <w:t xml:space="preserve"> </w:t>
            </w:r>
            <w:r w:rsidR="009E0724" w:rsidRPr="00356E59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8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E0724" w:rsidRPr="006F7B50" w:rsidRDefault="009E0724" w:rsidP="00A977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FF6E6D" w:rsidRPr="006F7B50" w:rsidRDefault="00FF6E6D" w:rsidP="00920E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ky-KG"/>
        </w:rPr>
      </w:pPr>
    </w:p>
    <w:p w:rsidR="00FF6E6D" w:rsidRPr="00F6520D" w:rsidRDefault="00FF6E6D" w:rsidP="00F6520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Эскертүү.</w:t>
      </w:r>
    </w:p>
    <w:p w:rsidR="00FF6E6D" w:rsidRPr="00F6520D" w:rsidRDefault="00FF6E6D" w:rsidP="00F6520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(*) Жылуулук энергиясын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жана ысык суу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 жогоруда көрсөтүлгөн тарифтер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7A00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бардык 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жылуулук менен камсыздоочу ишканалар үчүн 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(жаңы</w:t>
      </w:r>
      <w:r w:rsidR="004C26B8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дан пайдаланууга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берилген көп кабаттуу үйлөрдү жылуулук менен камсыз</w:t>
      </w:r>
      <w:r w:rsidR="00B959C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</w:t>
      </w:r>
      <w:r w:rsidR="001B0F52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аган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жер</w:t>
      </w:r>
      <w:r w:rsidR="004C26B8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индеги 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жеке </w:t>
      </w:r>
      <w:proofErr w:type="spellStart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жылытуучу</w:t>
      </w:r>
      <w:proofErr w:type="spellEnd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отканаларды</w:t>
      </w:r>
      <w:proofErr w:type="spellEnd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кошпогондо) “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Калк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” 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тобундагы керектөөчүлөр менен </w:t>
      </w:r>
      <w:proofErr w:type="spellStart"/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эсептешүүлөрдө</w:t>
      </w:r>
      <w:proofErr w:type="spellEnd"/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колдонулат.</w:t>
      </w:r>
    </w:p>
    <w:p w:rsidR="00FF6E6D" w:rsidRPr="00F6520D" w:rsidRDefault="00FF6E6D" w:rsidP="00F6520D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(**) Жылуулук энергиясын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жана ысык суу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 ушул тарифтер “</w:t>
      </w:r>
      <w:proofErr w:type="spellStart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жылуулук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тармагы</w:t>
      </w:r>
      <w:proofErr w:type="spellEnd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” 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 а</w:t>
      </w:r>
      <w:r w:rsidR="00B959C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кционердик коомунун тиричиликтик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эмес керектөөчүлөрүнүн аталган топтору үчүн гана колдонулат жана Кыргыз Республикасынын Энергетика жана өнөр жай министрлигин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 караштуу “</w:t>
      </w:r>
      <w:proofErr w:type="spellStart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Кыргызжылуулук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энерг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proofErr w:type="spellEnd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мамлекеттик ишканасы</w:t>
      </w:r>
      <w:r w:rsidR="003135C4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нын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</w:t>
      </w:r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Бишкекжылуулукэнерго</w:t>
      </w:r>
      <w:proofErr w:type="spellEnd"/>
      <w:r w:rsidR="00356E59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коммуналдык ишканасы</w:t>
      </w:r>
      <w:r w:rsidR="003135C4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нын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жана башка жылуулук менен камсыздоочу ишкана</w:t>
      </w:r>
      <w:r w:rsidR="003135C4"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лардын жылуулук энергиясын</w:t>
      </w:r>
      <w:r w:rsidRPr="00F6520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тиричиликтик эмес керектөөчүлөрүнө карата колдонулбайт.</w:t>
      </w:r>
    </w:p>
    <w:p w:rsidR="003135C4" w:rsidRPr="00F6520D" w:rsidRDefault="003135C4" w:rsidP="00F652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BF3353" w:rsidRPr="006F7B50" w:rsidRDefault="00BF3353" w:rsidP="0092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3353" w:rsidRPr="006F7B50" w:rsidSect="00F6520D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DB" w:rsidRDefault="00A661DB" w:rsidP="00F365E0">
      <w:pPr>
        <w:spacing w:after="0" w:line="240" w:lineRule="auto"/>
      </w:pPr>
      <w:r>
        <w:separator/>
      </w:r>
    </w:p>
  </w:endnote>
  <w:endnote w:type="continuationSeparator" w:id="0">
    <w:p w:rsidR="00A661DB" w:rsidRDefault="00A661DB" w:rsidP="00F3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195393"/>
      <w:docPartObj>
        <w:docPartGallery w:val="Page Numbers (Bottom of Page)"/>
        <w:docPartUnique/>
      </w:docPartObj>
    </w:sdtPr>
    <w:sdtEndPr/>
    <w:sdtContent>
      <w:p w:rsidR="004A3C38" w:rsidRDefault="004A3C3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20D">
          <w:rPr>
            <w:noProof/>
          </w:rPr>
          <w:t>1</w:t>
        </w:r>
        <w:r>
          <w:fldChar w:fldCharType="end"/>
        </w:r>
      </w:p>
    </w:sdtContent>
  </w:sdt>
  <w:p w:rsidR="00F365E0" w:rsidRPr="00F365E0" w:rsidRDefault="00F365E0" w:rsidP="00F365E0">
    <w:pPr>
      <w:tabs>
        <w:tab w:val="center" w:pos="4677"/>
        <w:tab w:val="right" w:pos="9355"/>
      </w:tabs>
      <w:spacing w:after="0" w:line="240" w:lineRule="auto"/>
      <w:ind w:left="524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DB" w:rsidRDefault="00A661DB" w:rsidP="00F365E0">
      <w:pPr>
        <w:spacing w:after="0" w:line="240" w:lineRule="auto"/>
      </w:pPr>
      <w:r>
        <w:separator/>
      </w:r>
    </w:p>
  </w:footnote>
  <w:footnote w:type="continuationSeparator" w:id="0">
    <w:p w:rsidR="00A661DB" w:rsidRDefault="00A661DB" w:rsidP="00F36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1C5"/>
    <w:rsid w:val="001B0F52"/>
    <w:rsid w:val="001B21C5"/>
    <w:rsid w:val="001F2796"/>
    <w:rsid w:val="00272FBB"/>
    <w:rsid w:val="00307DAF"/>
    <w:rsid w:val="003135C4"/>
    <w:rsid w:val="00356E59"/>
    <w:rsid w:val="00366859"/>
    <w:rsid w:val="003B301D"/>
    <w:rsid w:val="00417785"/>
    <w:rsid w:val="00450F4A"/>
    <w:rsid w:val="004A35EE"/>
    <w:rsid w:val="004A3C38"/>
    <w:rsid w:val="004C26B8"/>
    <w:rsid w:val="00597845"/>
    <w:rsid w:val="005C754E"/>
    <w:rsid w:val="006463EB"/>
    <w:rsid w:val="006A460E"/>
    <w:rsid w:val="006F7B50"/>
    <w:rsid w:val="007366A7"/>
    <w:rsid w:val="00737EC1"/>
    <w:rsid w:val="0075752A"/>
    <w:rsid w:val="00787A00"/>
    <w:rsid w:val="007A34DD"/>
    <w:rsid w:val="008D48D9"/>
    <w:rsid w:val="00920E37"/>
    <w:rsid w:val="009E0724"/>
    <w:rsid w:val="00A661DB"/>
    <w:rsid w:val="00A805FD"/>
    <w:rsid w:val="00A977EC"/>
    <w:rsid w:val="00B90C2D"/>
    <w:rsid w:val="00B959C9"/>
    <w:rsid w:val="00BF3353"/>
    <w:rsid w:val="00C366A3"/>
    <w:rsid w:val="00D02C79"/>
    <w:rsid w:val="00D51758"/>
    <w:rsid w:val="00E13B2F"/>
    <w:rsid w:val="00E2264C"/>
    <w:rsid w:val="00F25BF5"/>
    <w:rsid w:val="00F365E0"/>
    <w:rsid w:val="00F6520D"/>
    <w:rsid w:val="00F67032"/>
    <w:rsid w:val="00FA6E07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63ABF-3F53-4339-A4D4-FFAE1047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FF6E6D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F6E6D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F6E6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F6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F6E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6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5E0"/>
  </w:style>
  <w:style w:type="paragraph" w:styleId="a5">
    <w:name w:val="footer"/>
    <w:basedOn w:val="a"/>
    <w:link w:val="a6"/>
    <w:uiPriority w:val="99"/>
    <w:unhideWhenUsed/>
    <w:rsid w:val="00F36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5E0"/>
  </w:style>
  <w:style w:type="paragraph" w:styleId="a7">
    <w:name w:val="Balloon Text"/>
    <w:basedOn w:val="a"/>
    <w:link w:val="a8"/>
    <w:uiPriority w:val="99"/>
    <w:semiHidden/>
    <w:unhideWhenUsed/>
    <w:rsid w:val="00313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3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67602-1567-4364-A8C5-8EF4329C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Дуйшеналиев Урмат</cp:lastModifiedBy>
  <cp:revision>3</cp:revision>
  <cp:lastPrinted>2021-09-30T11:13:00Z</cp:lastPrinted>
  <dcterms:created xsi:type="dcterms:W3CDTF">2021-09-30T12:21:00Z</dcterms:created>
  <dcterms:modified xsi:type="dcterms:W3CDTF">2021-09-30T12:22:00Z</dcterms:modified>
</cp:coreProperties>
</file>