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410" w:rsidRPr="00E07ED4" w:rsidRDefault="00414410" w:rsidP="0071270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EF081A"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EF081A" w:rsidRPr="008A54B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B75513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EF081A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иркеме</w:t>
      </w:r>
    </w:p>
    <w:p w:rsidR="00414410" w:rsidRPr="00E07ED4" w:rsidRDefault="00414410" w:rsidP="0071270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E07ED4" w:rsidRPr="00E07ED4" w:rsidRDefault="00414410" w:rsidP="007127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Кыргыз Республикасынын 2021-2025-жылдарга карата </w:t>
      </w:r>
      <w:r w:rsidR="00E07ED4"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br/>
      </w:r>
      <w:r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жылуулук энергиясына</w:t>
      </w:r>
      <w:r w:rsidRPr="00E07ED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жана ысык суу менен камсыз</w:t>
      </w:r>
      <w:r w:rsidR="003C0D12" w:rsidRPr="00E07ED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доого</w:t>
      </w:r>
      <w:r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:rsidR="00597845" w:rsidRPr="00E07ED4" w:rsidRDefault="00414410" w:rsidP="0071270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орто мөөнөттүү тарифтик саясаты</w:t>
      </w:r>
    </w:p>
    <w:p w:rsidR="00414410" w:rsidRPr="00E07ED4" w:rsidRDefault="00414410" w:rsidP="0071270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414410" w:rsidRPr="00E07ED4" w:rsidRDefault="00F27318" w:rsidP="00F27318">
      <w:pPr>
        <w:pStyle w:val="tkZagolovok2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</w:t>
      </w:r>
      <w:r w:rsidR="00E0295A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глава</w:t>
      </w: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  <w:r w:rsidR="0041441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Киришүү</w:t>
      </w:r>
    </w:p>
    <w:p w:rsidR="005E31AC" w:rsidRPr="00E07ED4" w:rsidRDefault="005E31AC" w:rsidP="005E31AC">
      <w:pPr>
        <w:pStyle w:val="tkZagolovok2"/>
        <w:spacing w:before="0" w:after="0" w:line="240" w:lineRule="auto"/>
        <w:ind w:left="0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5E31AC" w:rsidRPr="00E07ED4" w:rsidRDefault="00414410" w:rsidP="00FF0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y2iqfc"/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ab/>
      </w:r>
      <w:r w:rsidR="00B11D1D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Ушул 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Кыргыз Республикасынын 2021-2025-жылдарга </w:t>
      </w:r>
      <w:r w:rsidR="00EF081A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карата 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жылуул</w:t>
      </w:r>
      <w:r w:rsidR="00EF081A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ук </w:t>
      </w:r>
      <w:r w:rsidR="005E31AC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энергиясына </w:t>
      </w:r>
      <w:r w:rsidR="00EF081A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 ысык суу менен камсыз</w:t>
      </w:r>
      <w:r w:rsidR="003C0D12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доого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орто мөөнөттүү тарифтик саясаты (мындан ары </w:t>
      </w:r>
      <w:r w:rsidR="005E31AC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–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5AE0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ОМТС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) </w:t>
      </w:r>
      <w:r w:rsidR="00592B62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өлкөнүн энергетика</w:t>
      </w:r>
      <w:r w:rsidR="00B11D1D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тармагындагы</w:t>
      </w:r>
      <w:r w:rsidR="00592B62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каатчылык</w:t>
      </w:r>
      <w:r w:rsidR="003F297C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тын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шарт</w:t>
      </w:r>
      <w:r w:rsidR="00592B62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тар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ында керектөөчүлөрдү жылуулук </w:t>
      </w:r>
      <w:r w:rsidR="00592B62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энергиясы 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 ысык суу менен үзгүлтүксүз камсыз кылууга багытталган.</w:t>
      </w:r>
    </w:p>
    <w:p w:rsidR="005E31AC" w:rsidRPr="00E07ED4" w:rsidRDefault="00592B62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B11D1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Ушул </w:t>
      </w:r>
      <w:proofErr w:type="spellStart"/>
      <w:r w:rsidR="00B11D1D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</w:t>
      </w:r>
      <w:r w:rsidR="00B11D1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тин</w:t>
      </w:r>
      <w:proofErr w:type="spellEnd"/>
      <w:r w:rsidR="00B11D1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максаты ж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уулук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энергетикалык тармагында өзүн-өзү акт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оо принциптерин 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акырындык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менен киргизүү жана тарифтерди түзүүдө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кайчылаш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субсидияларды 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этап-этабы</w:t>
      </w:r>
      <w:r w:rsidR="00FF0422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боюнча жоюу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болуп саналат.</w:t>
      </w:r>
    </w:p>
    <w:p w:rsidR="005E31AC" w:rsidRPr="00E07ED4" w:rsidRDefault="00FF0422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4"/>
          <w:szCs w:val="28"/>
          <w:lang w:val="ky-KG"/>
        </w:rPr>
        <w:tab/>
      </w:r>
      <w:r w:rsidR="002B5AE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орто мөөнөттүү мезгилде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жылуулук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энергиясына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тарифтер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менен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наркын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жабууга жетүүнү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жана андан ары 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аларды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 сайын 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өткөн жылдагы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 жүзүн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дөгү</w:t>
      </w:r>
      <w:r w:rsidR="00267B22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инфляциясы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дэңгээлине</w:t>
      </w:r>
      <w:proofErr w:type="spellEnd"/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 түзөтү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 турууну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болжолдойт.</w:t>
      </w:r>
    </w:p>
    <w:p w:rsidR="00414410" w:rsidRPr="00E07ED4" w:rsidRDefault="00414410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  <w:t>Импорттолуучу отун ресурстарынын (көмүр, газ, мазут) наркы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дайыма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өсү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 жаткан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шарт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</w:t>
      </w:r>
      <w:r w:rsidR="003E2F5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ушул </w:t>
      </w:r>
      <w:proofErr w:type="spellStart"/>
      <w:r w:rsidR="00157C28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</w:t>
      </w:r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тин</w:t>
      </w:r>
      <w:proofErr w:type="spellEnd"/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негизги милдеттеринин бири ушул </w:t>
      </w:r>
      <w:proofErr w:type="spellStart"/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ОМТСт</w:t>
      </w:r>
      <w:r w:rsidR="00014DA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proofErr w:type="spellEnd"/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тиркемесинде</w:t>
      </w:r>
      <w:proofErr w:type="spellEnd"/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келтирилген темптерге ылайык жылуулук энергиясына жана ысык сууга тарифтерди өз убагында өзгөртү</w:t>
      </w:r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ү 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болуп саналат. Мындай мамиле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жылуулук энергиясына жана ысык сууга болгон тарифтерди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акырындык менен алардын 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реалдуу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наркына </w:t>
      </w:r>
      <w:r w:rsidR="003F29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чейин 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</w:t>
      </w:r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кирүүгө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мүмкүндүк берет, жыйынтыгын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 жылуулу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 </w:t>
      </w:r>
      <w:r w:rsidR="006F4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энергетика сектору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ндагы жылуулук менен камсыздоочу ишканалардын </w:t>
      </w:r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финансылык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туруктуулугун камсыз кылат.</w:t>
      </w:r>
    </w:p>
    <w:p w:rsidR="005E31AC" w:rsidRPr="00E07ED4" w:rsidRDefault="005E31AC" w:rsidP="00712702">
      <w:pPr>
        <w:pStyle w:val="tkZagolovok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14410" w:rsidRPr="00E07ED4" w:rsidRDefault="00F27318" w:rsidP="00F27318">
      <w:pPr>
        <w:pStyle w:val="tkZagolovok2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2-</w:t>
      </w:r>
      <w:r w:rsidR="00157C28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глава</w:t>
      </w: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  <w:r w:rsidR="0041441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 принциптер</w:t>
      </w:r>
    </w:p>
    <w:p w:rsidR="00712702" w:rsidRPr="00E07ED4" w:rsidRDefault="00712702" w:rsidP="00712702">
      <w:pPr>
        <w:pStyle w:val="tkZagolovok2"/>
        <w:spacing w:before="0" w:after="0" w:line="240" w:lineRule="auto"/>
        <w:ind w:left="149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14410" w:rsidRPr="00E07ED4" w:rsidRDefault="002B5AE0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Бул </w:t>
      </w: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төмөнкү принциптерге негиздел</w:t>
      </w:r>
      <w:r w:rsidR="00157C28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ет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</w:p>
    <w:p w:rsidR="002909D0" w:rsidRPr="00E07ED4" w:rsidRDefault="00157C28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 тарифтер 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менен камсыздоочу ишканалардын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жылуулук энергиясын өндүрүү, берүү, бөлүштүрүү жана сатуу боюнча бардык чыгымдарын, ошондой эле карыздарды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капиталдык салымдар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жана башка 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тейлөөгө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чыгымдарды жабышы керек;</w:t>
      </w:r>
    </w:p>
    <w:p w:rsidR="002909D0" w:rsidRPr="00E07ED4" w:rsidRDefault="00157C28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тарифтердин ө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сүү темпи акырындык менен жүргүзүлүшү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жана керектөөчүлөр үчүн күтүүсүз экономикалык кыйынчылыктарды жаратпашы керек;</w:t>
      </w:r>
    </w:p>
    <w:p w:rsidR="00414410" w:rsidRPr="00E07ED4" w:rsidRDefault="00157C28" w:rsidP="00B47FA9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электр жана жылуулук энергиясын керектөөчүлөрдүн ортосунда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гы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кайчылаш субсидиялоо</w:t>
      </w:r>
      <w:r w:rsidR="002D7FA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акырындык менен жоюлушу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керек. </w:t>
      </w:r>
      <w:r w:rsidR="005D721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Мында </w:t>
      </w:r>
      <w:r w:rsidR="005D721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2025-жылга чейинки орто мөөнөттүү мезгилде жылуулук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энергетика</w:t>
      </w:r>
      <w:r w:rsidR="005D721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сында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субсидияларды толугу менен жоюу мүмкүн эмес, анткени бул калк үчүн жылу</w:t>
      </w:r>
      <w:r w:rsidR="006216F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улук энергиясына тарифтин 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өтө</w:t>
      </w:r>
      <w:r w:rsidR="006216F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өсүп 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кетишине</w:t>
      </w:r>
      <w:r w:rsidR="006216F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алып келе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т.</w:t>
      </w:r>
    </w:p>
    <w:p w:rsidR="002909D0" w:rsidRPr="00E07ED4" w:rsidRDefault="002909D0" w:rsidP="00B47FA9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14410" w:rsidRPr="00E07ED4" w:rsidRDefault="00F27318" w:rsidP="00F27318">
      <w:pPr>
        <w:pStyle w:val="tkZagolovok2"/>
        <w:spacing w:before="0" w:after="0" w:line="240" w:lineRule="auto"/>
        <w:ind w:left="1494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3-</w:t>
      </w:r>
      <w:r w:rsidR="00CB7796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глава</w:t>
      </w: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  <w:r w:rsidR="0041441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Тарифтер</w:t>
      </w:r>
    </w:p>
    <w:p w:rsidR="002909D0" w:rsidRPr="00E07ED4" w:rsidRDefault="002909D0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909D0" w:rsidRPr="00E07ED4" w:rsidRDefault="002B5AE0" w:rsidP="006F3873">
      <w:pPr>
        <w:pStyle w:val="HTM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6216F0"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Калк үчүн жылуулук энергиясына</w:t>
      </w:r>
      <w:r w:rsidR="00414410"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тарифтер</w:t>
      </w:r>
    </w:p>
    <w:p w:rsidR="00F3001B" w:rsidRPr="00E07ED4" w:rsidRDefault="002B5AE0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</w:t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риндеги жеке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жылытуучу</w:t>
      </w:r>
      <w:proofErr w:type="spellEnd"/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отканалар</w:t>
      </w:r>
      <w:proofErr w:type="spellEnd"/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жылуулук менен камсыздаган 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дан пайдаланууга берилген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көп кабаттуу үйлөрдө жашаган тиричилик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тик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керектөөчүлөр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дү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(калкты) кошпогондо, 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керектөөчүлөрдүн бул тобу үчүн ушул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ОМТСте</w:t>
      </w:r>
      <w:proofErr w:type="spellEnd"/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социалдык багытталган тариф 2021-жыл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1134,76 сом/</w:t>
      </w:r>
      <w:proofErr w:type="spellStart"/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Гкал</w:t>
      </w:r>
      <w:proofErr w:type="spellEnd"/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өлчөмүндө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сактал</w:t>
      </w:r>
      <w:r w:rsidR="00CB779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F527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2022-жылдан тартып тарифти акырындык менен жылына 10 пайызга көбөй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түү каралууда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бул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2025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-жылга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="00DF200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жылуулук энергиясынын наркын жабууга мүмкүндүк берет.</w:t>
      </w:r>
    </w:p>
    <w:p w:rsidR="002909D0" w:rsidRPr="00E07ED4" w:rsidRDefault="00F3001B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Жериндеги жеке </w:t>
      </w:r>
      <w:proofErr w:type="spellStart"/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жылытуучу</w:t>
      </w:r>
      <w:proofErr w:type="spellEnd"/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отканалар</w:t>
      </w:r>
      <w:proofErr w:type="spellEnd"/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жылуулук менен камсыздаган жаңыдан пайдаланууга берилген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 кабаттуу үйлөрдө жашаган тиричилик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тик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керектөөчүлөр (калк)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үчүн жылуулук энергиясына тарифтер </w:t>
      </w:r>
      <w:r w:rsidR="000C359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энергиясынын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наркынын деңгээлинде колдонулат.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A652C5" w:rsidRPr="00E07ED4" w:rsidRDefault="00F47519" w:rsidP="00163830">
      <w:pPr>
        <w:pStyle w:val="HTML"/>
        <w:tabs>
          <w:tab w:val="clear" w:pos="916"/>
          <w:tab w:val="left" w:pos="851"/>
        </w:tabs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Бул жылуулук энергиясын </w:t>
      </w:r>
      <w:r w:rsidR="00EA0AA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 чыгууда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2020-жылы 1,6 млрд сомду т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үзгөн акча каражатынын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тартыштыгы 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 калк үчүн тарифтерди жылуулук энергиясынын толук наркына (реалдуу наркына) акырындык менен жетк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ирүү зарылдыгы менен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шартталган</w:t>
      </w:r>
      <w:r w:rsidR="0041441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A652C5" w:rsidRPr="00E07ED4" w:rsidRDefault="00F47519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16383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Бишкекжылуулук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энерг</w:t>
      </w:r>
      <w:r w:rsidR="0016383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proofErr w:type="spellEnd"/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коммуналдык ишканасынын жана Кыргыз Республикасынын Энергетика жана өнөр жай министрлигин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 караштуу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16383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Кыргызжылуулук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энерг</w:t>
      </w:r>
      <w:r w:rsidR="0016383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proofErr w:type="spellEnd"/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мамлекеттик ишканасынын, ошондой эле башка жылуулук менен камсыздоочу уюмдардын </w:t>
      </w:r>
      <w:proofErr w:type="spellStart"/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отканаларынан</w:t>
      </w:r>
      <w:proofErr w:type="spellEnd"/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(жаңы</w:t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дан пайдаланууга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берилген көп кабаттуу үйлөр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дү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уулук менен 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камсызд</w:t>
      </w:r>
      <w:r w:rsidR="0008471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аган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</w:t>
      </w:r>
      <w:r w:rsidR="00F822C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индеги</w:t>
      </w:r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жеке </w:t>
      </w:r>
      <w:proofErr w:type="spellStart"/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жылытуучу</w:t>
      </w:r>
      <w:proofErr w:type="spellEnd"/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отканаларды</w:t>
      </w:r>
      <w:proofErr w:type="spellEnd"/>
      <w:r w:rsidR="006F387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кошпогондо)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жылытуу жана ысык суу менен камсыз </w:t>
      </w:r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максатында жылуулук энергиясын алган калк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үчүн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энергиясына жана ысык сууга тарифтер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Бишкекжылуулук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тармагы</w:t>
      </w:r>
      <w:proofErr w:type="spellEnd"/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ачык акционердик коомунан жана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F527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Электр </w:t>
      </w:r>
      <w:proofErr w:type="spellStart"/>
      <w:r w:rsidR="00F527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станциялар</w:t>
      </w:r>
      <w:proofErr w:type="spellEnd"/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ачык акционердик коомунун түзүмдүк бөлүмдөрүнөн 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жылуулук энергиясын алган калк үчүн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3001B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өлчөмдө белгиленет.</w:t>
      </w:r>
    </w:p>
    <w:p w:rsidR="004E3123" w:rsidRPr="00E07ED4" w:rsidRDefault="00F47519" w:rsidP="00712702">
      <w:pPr>
        <w:pStyle w:val="HTML"/>
        <w:jc w:val="both"/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</w:p>
    <w:p w:rsidR="00A652C5" w:rsidRPr="00E07ED4" w:rsidRDefault="004E3123" w:rsidP="00712702">
      <w:pPr>
        <w:pStyle w:val="HTML"/>
        <w:jc w:val="both"/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F47519"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Өнөр жай, бюджеттик жана башка керектөөчүлөр үчүн жылуулук </w:t>
      </w:r>
      <w:r w:rsidR="007A2DB1"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энергиясына тарифтер</w:t>
      </w:r>
    </w:p>
    <w:p w:rsidR="00A652C5" w:rsidRPr="00E07ED4" w:rsidRDefault="002B5AE0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Бишкекжылуулук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тармагы</w:t>
      </w:r>
      <w:proofErr w:type="spellEnd"/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ачык акционердик коомунан жылуулук 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энергиясын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ган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ушул топто</w:t>
      </w:r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рдун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керектөөчүлөр</w:t>
      </w:r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үчүн 201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5-жылдын апрелинен тартып колдону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луучу </w:t>
      </w:r>
      <w:r w:rsidR="00A652C5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1695,1 сом/</w:t>
      </w:r>
      <w:proofErr w:type="spellStart"/>
      <w:r w:rsidR="00DB2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Гкал</w:t>
      </w:r>
      <w:proofErr w:type="spellEnd"/>
      <w:r w:rsidR="00DB2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(салыктар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эсепке 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бастан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="007A2D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өлчөмүндөгү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тариф жыл сайын 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өткөн</w:t>
      </w:r>
      <w:r w:rsidR="00DB2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жылдагы 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иш жүзүндөгү </w:t>
      </w:r>
      <w:r w:rsidR="00DB2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инфляциянын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</w:t>
      </w:r>
      <w:r w:rsidR="00DB2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гээлине карата түзөтүлүп турат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Дефляция болгон учурда жылуулук</w:t>
      </w:r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энергиясына 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болгон тариф 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колдонуудагы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деңгээлде</w:t>
      </w:r>
      <w:r w:rsidR="004E312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сакталат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A652C5" w:rsidRPr="00E07ED4" w:rsidRDefault="00F47519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Башка жылуулук менен камсыздоочу уюмдардан ж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ылуулук э</w:t>
      </w:r>
      <w:r w:rsidR="00DB21A3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нергиясын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 ушул топтордун керектөөчүлөрү үчүн жылуулук энергиясына тарифтер жылуулук энергиясынын наркынын деңгээлинде колдонулат.</w:t>
      </w:r>
    </w:p>
    <w:p w:rsidR="00A652C5" w:rsidRPr="00E07ED4" w:rsidRDefault="00A652C5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A652C5" w:rsidRPr="00E07ED4" w:rsidRDefault="00712702" w:rsidP="00712702">
      <w:pPr>
        <w:pStyle w:val="HTML"/>
        <w:jc w:val="both"/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F47519" w:rsidRPr="00E07ED4">
        <w:rPr>
          <w:rStyle w:val="y2iqfc"/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Ысык сууга тарифтер</w:t>
      </w:r>
    </w:p>
    <w:p w:rsidR="00A652C5" w:rsidRPr="00E07ED4" w:rsidRDefault="00712702" w:rsidP="00712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ab/>
      </w:r>
      <w:r w:rsidR="00DB21A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Ы</w:t>
      </w:r>
      <w:r w:rsidR="00F47519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сык сууну </w:t>
      </w:r>
      <w:r w:rsidR="00DB21A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тиричиликтик </w:t>
      </w:r>
      <w:r w:rsidR="00F47519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керектөөчүлөр үчүн </w:t>
      </w:r>
      <w:r w:rsidR="00EB708D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да тарифтердин жыл сайын акырындык менен </w:t>
      </w:r>
      <w:r w:rsidR="00FB2757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өсүшү</w:t>
      </w:r>
      <w:r w:rsidR="00EB708D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каралууда, ал </w:t>
      </w:r>
      <w:r w:rsidR="00A652C5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2025</w:t>
      </w:r>
      <w:r w:rsidR="00DB21A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-жылы ысык суунун наркын жабуу</w:t>
      </w:r>
      <w:r w:rsidR="00EB708D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ну карайт. </w:t>
      </w:r>
      <w:r w:rsidR="00DB21A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:rsidR="00AD44A4" w:rsidRPr="00E07ED4" w:rsidRDefault="00EB708D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  <w:t xml:space="preserve">Ушуну менен бирге 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калктын көпчүлүк бөлүгүндө ысык суу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ну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эсеп</w:t>
      </w:r>
      <w:r w:rsidR="00FB2757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алуучу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приборлор</w:t>
      </w:r>
      <w:proofErr w:type="spellEnd"/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жок болгондуктан,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ысык сууга төлөм 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турак жайда жашаган ар бир адам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керектөө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 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айына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4,8 м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3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эсебин</w:t>
      </w:r>
      <w:r w:rsidR="00084716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деги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ченем боюнча 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каралган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AD44A4" w:rsidRPr="00E07ED4" w:rsidRDefault="00F47519" w:rsidP="00712702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Ысык суу</w:t>
      </w:r>
      <w:r w:rsidR="00EB708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ну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эсеп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 алуучу</w:t>
      </w:r>
      <w:r w:rsidR="00EB708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EB708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приборлор</w:t>
      </w:r>
      <w:proofErr w:type="spellEnd"/>
      <w:r w:rsidR="00EB708D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62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жок калк үчүн </w:t>
      </w:r>
      <w:proofErr w:type="spellStart"/>
      <w:r w:rsidR="002B5AE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</w:t>
      </w:r>
      <w:r w:rsidR="006F262C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EB708D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</w:t>
      </w:r>
      <w:proofErr w:type="spellEnd"/>
      <w:r w:rsidR="00EB708D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ушул </w:t>
      </w:r>
      <w:proofErr w:type="spellStart"/>
      <w:r w:rsidR="00EB708D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ОМТСтин</w:t>
      </w:r>
      <w:proofErr w:type="spellEnd"/>
      <w:r w:rsidR="00EB708D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A91074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тиркемеле</w:t>
      </w:r>
      <w:r w:rsidR="00C165BE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рин</w:t>
      </w:r>
      <w:r w:rsidR="00A91074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</w:t>
      </w:r>
      <w:proofErr w:type="spellEnd"/>
      <w:r w:rsidR="00A91074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көрсөтүлгөн темптерге ылайык 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тарифти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жыл сайын </w:t>
      </w:r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өсүшү 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каралган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6867D9" w:rsidRPr="00E07ED4" w:rsidRDefault="00F47519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ab/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8D4BB1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Бишкекжылуулук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тармагы</w:t>
      </w:r>
      <w:proofErr w:type="spellEnd"/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ачык акционердик к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оому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тарабынан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ысык суу менен камсызд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алган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башка бардык керектөөчүлөр үчүн </w:t>
      </w:r>
      <w:r w:rsidR="00AD44A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колдонуудагы 1695,1 сом/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Гкал (салыктар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 эске ал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бастан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өлчөмүндөгү тариф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 сайын өткөн жылд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агы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иш жүзүндөгү инфляция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нын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деңгээлине 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 түзөтү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лүп</w:t>
      </w:r>
      <w:r w:rsidR="00A9107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турат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Дефляция болгон учурда ысык сууга болгон тариф 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колдонуудагы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деңгээлде 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сакталат</w:t>
      </w:r>
      <w:r w:rsidR="00844020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AD44A4" w:rsidRPr="00E07ED4" w:rsidRDefault="006867D9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  <w:t>Башка жылуулук менен камсыздоочу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уюмдар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тарабынан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ысык суу </w:t>
      </w:r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менен </w:t>
      </w:r>
      <w:proofErr w:type="spellStart"/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камсыздалуучу</w:t>
      </w:r>
      <w:proofErr w:type="spellEnd"/>
      <w:r w:rsidR="00C165BE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ушул топтордун керектөөчүлөрү үчүн жылуулук энергиясына тарифтер ысык суунун наркынын деңгээлинде колдонулат.</w:t>
      </w:r>
    </w:p>
    <w:p w:rsidR="004A27EE" w:rsidRPr="00E07ED4" w:rsidRDefault="00C165BE" w:rsidP="004A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E07ED4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Тарифтердин туура жана өз убагында колдонулушу үчүн, алардын э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нергия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менен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камсыздоочу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уюмдар жана жылуулук энергиясын керектөөчүлөр тарабынан туура эмес чечмеленишин бол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турбоо максатында,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 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“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Энергетика жөнүндө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” жана “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Электр эн</w:t>
      </w:r>
      <w:r w:rsidR="00BC075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ергетикасы жөнүндө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”</w:t>
      </w:r>
      <w:r w:rsidR="00BC075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 Республикасынын м</w:t>
      </w:r>
      <w:r w:rsidR="00BC075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ыйзамдарын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ын ченемдерине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ылайык 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тарифтер </w:t>
      </w:r>
      <w:r w:rsidR="00F86859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тарифтерди колдонуу тартибин аныктаган, 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белгиленген тарифтер колдонул</w:t>
      </w:r>
      <w:r w:rsidR="007573F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уучу 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керектөөчүлөрдүн топторунун тизмегин камтыган</w:t>
      </w:r>
      <w:r w:rsidR="00BC075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573F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ылуулук энергиясына 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 ысык суу менен камсыз</w:t>
      </w:r>
      <w:r w:rsidR="004825B1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доого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A27EE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тарифтерди колдонуу 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боюнча </w:t>
      </w:r>
      <w:r w:rsidR="007573F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</w:t>
      </w:r>
      <w:r w:rsidR="00AD44A4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ускамага ылайык колдонулат</w:t>
      </w:r>
      <w:r w:rsidR="00BC0753" w:rsidRPr="00E07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.</w:t>
      </w:r>
    </w:p>
    <w:p w:rsidR="00BC0753" w:rsidRPr="00E07ED4" w:rsidRDefault="00BC0753" w:rsidP="00712702">
      <w:pPr>
        <w:pStyle w:val="tkZagolovok2"/>
        <w:spacing w:before="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4057C" w:rsidRPr="00E07ED4" w:rsidRDefault="00F27318" w:rsidP="00F27318">
      <w:pPr>
        <w:pStyle w:val="tkZagolovok2"/>
        <w:spacing w:before="0" w:after="0" w:line="240" w:lineRule="auto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4-</w:t>
      </w:r>
      <w:r w:rsidR="007573F4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глава</w:t>
      </w: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  <w:r w:rsidR="0041441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Корутунду</w:t>
      </w:r>
    </w:p>
    <w:p w:rsidR="007573F4" w:rsidRPr="00E07ED4" w:rsidRDefault="00712702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</w:p>
    <w:p w:rsidR="006B686B" w:rsidRPr="00E07ED4" w:rsidRDefault="007573F4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Ушул </w:t>
      </w:r>
      <w:proofErr w:type="spellStart"/>
      <w:r w:rsidR="002B5AE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</w:t>
      </w:r>
      <w:r w:rsidR="0024057C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proofErr w:type="spellEnd"/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ишке ашыруунун жүрүшүндө жыл сайын отун ресурстарына (газ, мазут, көмүр) баалардын </w:t>
      </w:r>
      <w:proofErr w:type="spellStart"/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өзгөрүү</w:t>
      </w:r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сүнө</w:t>
      </w:r>
      <w:proofErr w:type="spellEnd"/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талдоо жүргүзүл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үп турат</w:t>
      </w:r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 Жүргүзүлгө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талдоонун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жыйынтыгы боюнча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энергетика секторундагы ишканалардын иштеринин негизги техникалык-экономикалык көрсөткүчтөрүнүн </w:t>
      </w:r>
      <w:proofErr w:type="spellStart"/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ОМТСт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</w:t>
      </w:r>
      <w:proofErr w:type="spellEnd"/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кабыл алынган көрсөткүчтөрдөн четт</w:t>
      </w:r>
      <w:r w:rsidR="00F8685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өөсү </w:t>
      </w:r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аныкталат. Уш</w:t>
      </w:r>
      <w:r w:rsidR="00F8685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уну</w:t>
      </w:r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эске алуу менен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4057C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тарифтерди жогорулатуунун өсүү темпи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энергетикалык компаниялардын 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жабдууларды жана жылуулук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тармактарын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оң абалда карм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ап турууга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ошондой эле аларды өз убагында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оңдоого 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жана </w:t>
      </w:r>
      <w:proofErr w:type="spellStart"/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жаңыртууга</w:t>
      </w:r>
      <w:proofErr w:type="spellEnd"/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байланышкан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инвестициялык жана кредиттик </w:t>
      </w:r>
      <w:proofErr w:type="spellStart"/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милдеттенмелерине</w:t>
      </w:r>
      <w:proofErr w:type="spellEnd"/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жар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аша 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кайра каралышы мүмкүн.</w:t>
      </w:r>
    </w:p>
    <w:p w:rsidR="00F47519" w:rsidRPr="00E07ED4" w:rsidRDefault="00F47519" w:rsidP="00712702">
      <w:pPr>
        <w:pStyle w:val="HTML"/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  <w:t xml:space="preserve">Бул </w:t>
      </w:r>
      <w:r w:rsidR="002B5AE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ОМТ</w:t>
      </w:r>
      <w:bookmarkStart w:id="0" w:name="_GoBack"/>
      <w:bookmarkEnd w:id="0"/>
      <w:r w:rsidR="002B5AE0" w:rsidRPr="00E07ED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төмөнкүлөр</w:t>
      </w:r>
      <w:r w:rsidR="007573F4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гө </w:t>
      </w:r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түрткү берет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</w:p>
    <w:p w:rsidR="00F47519" w:rsidRPr="00E07ED4" w:rsidRDefault="007573F4" w:rsidP="00DB4F44">
      <w:pPr>
        <w:pStyle w:val="HTML"/>
        <w:tabs>
          <w:tab w:val="clear" w:pos="916"/>
          <w:tab w:val="left" w:pos="851"/>
        </w:tabs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ab/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жылуулук энергиясын жана ы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сык сууну пайдалуу жана натыйжа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луу максаттард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 гана пайдалануу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</w:p>
    <w:p w:rsidR="00F47519" w:rsidRPr="00E07ED4" w:rsidRDefault="007573F4" w:rsidP="00DB4F44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керектөөчүлөрд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 </w:t>
      </w: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энергиясын жана ысык сууну пайдалануунун реалдуу наркын аныктоо </w:t>
      </w:r>
      <w:proofErr w:type="spellStart"/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мүмкүндүгүнүн</w:t>
      </w:r>
      <w:proofErr w:type="spellEnd"/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пайда болушуна, бул  керектөөчүнүн </w:t>
      </w:r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өз </w:t>
      </w:r>
      <w:proofErr w:type="spellStart"/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керектөөсүнүн</w:t>
      </w:r>
      <w:proofErr w:type="spellEnd"/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түзүмүн кайра кар</w:t>
      </w:r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ап </w:t>
      </w:r>
      <w:proofErr w:type="spellStart"/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чыгуусу</w:t>
      </w:r>
      <w:proofErr w:type="spellEnd"/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жана энергетикалык натыйжалуулук (жылуулоо жана </w:t>
      </w:r>
      <w:proofErr w:type="spellStart"/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изоляциялоо</w:t>
      </w:r>
      <w:proofErr w:type="spellEnd"/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үчүн </w:t>
      </w:r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өбөлгө түзөт</w:t>
      </w:r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; </w:t>
      </w:r>
    </w:p>
    <w:p w:rsidR="00E07ED4" w:rsidRDefault="007573F4" w:rsidP="00DB4F44">
      <w:pPr>
        <w:pStyle w:val="HTML"/>
        <w:tabs>
          <w:tab w:val="clear" w:pos="916"/>
          <w:tab w:val="left" w:pos="709"/>
        </w:tabs>
        <w:jc w:val="both"/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ab/>
      </w:r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 жылуулук</w:t>
      </w:r>
      <w:r w:rsidR="00F4751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энергетика</w:t>
      </w:r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сын</w:t>
      </w:r>
      <w:r w:rsidR="0099574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субсидиялоону </w:t>
      </w:r>
      <w:r w:rsidR="009A1D5F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этап-этап менен</w:t>
      </w:r>
      <w:r w:rsidR="00356DD9" w:rsidRPr="00E07ED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кыскартууга.</w:t>
      </w:r>
    </w:p>
    <w:sectPr w:rsidR="00E07ED4" w:rsidSect="00E07ED4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E17" w:rsidRDefault="00136E17" w:rsidP="0048603D">
      <w:pPr>
        <w:spacing w:after="0" w:line="240" w:lineRule="auto"/>
      </w:pPr>
      <w:r>
        <w:separator/>
      </w:r>
    </w:p>
  </w:endnote>
  <w:endnote w:type="continuationSeparator" w:id="0">
    <w:p w:rsidR="00136E17" w:rsidRDefault="00136E17" w:rsidP="0048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926570786"/>
      <w:docPartObj>
        <w:docPartGallery w:val="Page Numbers (Bottom of Page)"/>
        <w:docPartUnique/>
      </w:docPartObj>
    </w:sdtPr>
    <w:sdtEndPr/>
    <w:sdtContent>
      <w:p w:rsidR="00600368" w:rsidRPr="00E07ED4" w:rsidRDefault="00600368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07E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E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7E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4F4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07E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603D" w:rsidRPr="00E07ED4" w:rsidRDefault="0048603D" w:rsidP="0048603D">
    <w:pPr>
      <w:tabs>
        <w:tab w:val="center" w:pos="4677"/>
        <w:tab w:val="right" w:pos="9355"/>
      </w:tabs>
      <w:spacing w:after="0" w:line="240" w:lineRule="auto"/>
      <w:ind w:left="5245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E17" w:rsidRDefault="00136E17" w:rsidP="0048603D">
      <w:pPr>
        <w:spacing w:after="0" w:line="240" w:lineRule="auto"/>
      </w:pPr>
      <w:r>
        <w:separator/>
      </w:r>
    </w:p>
  </w:footnote>
  <w:footnote w:type="continuationSeparator" w:id="0">
    <w:p w:rsidR="00136E17" w:rsidRDefault="00136E17" w:rsidP="00486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37259"/>
    <w:multiLevelType w:val="hybridMultilevel"/>
    <w:tmpl w:val="7D72007E"/>
    <w:lvl w:ilvl="0" w:tplc="65FAC7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2E"/>
    <w:rsid w:val="00014DAD"/>
    <w:rsid w:val="000209CE"/>
    <w:rsid w:val="0003261A"/>
    <w:rsid w:val="00084716"/>
    <w:rsid w:val="000C359B"/>
    <w:rsid w:val="000D2BC9"/>
    <w:rsid w:val="00136E17"/>
    <w:rsid w:val="00137C20"/>
    <w:rsid w:val="00157C28"/>
    <w:rsid w:val="00162A9D"/>
    <w:rsid w:val="00163830"/>
    <w:rsid w:val="001638A9"/>
    <w:rsid w:val="00194F94"/>
    <w:rsid w:val="001F3087"/>
    <w:rsid w:val="0024057C"/>
    <w:rsid w:val="00267B22"/>
    <w:rsid w:val="002909D0"/>
    <w:rsid w:val="002B5AE0"/>
    <w:rsid w:val="002D7FAC"/>
    <w:rsid w:val="00341426"/>
    <w:rsid w:val="003539D9"/>
    <w:rsid w:val="00354755"/>
    <w:rsid w:val="00356DD9"/>
    <w:rsid w:val="003A137F"/>
    <w:rsid w:val="003A452D"/>
    <w:rsid w:val="003C0D12"/>
    <w:rsid w:val="003D6E17"/>
    <w:rsid w:val="003E2F59"/>
    <w:rsid w:val="003F297C"/>
    <w:rsid w:val="00412D2E"/>
    <w:rsid w:val="00414410"/>
    <w:rsid w:val="00454833"/>
    <w:rsid w:val="004825B1"/>
    <w:rsid w:val="0048603D"/>
    <w:rsid w:val="004A27EE"/>
    <w:rsid w:val="004E3123"/>
    <w:rsid w:val="004F4624"/>
    <w:rsid w:val="00513B2E"/>
    <w:rsid w:val="00560B23"/>
    <w:rsid w:val="00565FD5"/>
    <w:rsid w:val="00592B62"/>
    <w:rsid w:val="00597845"/>
    <w:rsid w:val="005D7216"/>
    <w:rsid w:val="005E31AC"/>
    <w:rsid w:val="005F4607"/>
    <w:rsid w:val="00600368"/>
    <w:rsid w:val="006179A2"/>
    <w:rsid w:val="006216F0"/>
    <w:rsid w:val="006867D9"/>
    <w:rsid w:val="006B686B"/>
    <w:rsid w:val="006E53EF"/>
    <w:rsid w:val="006F262C"/>
    <w:rsid w:val="006F3873"/>
    <w:rsid w:val="006F41A3"/>
    <w:rsid w:val="00712702"/>
    <w:rsid w:val="007573F4"/>
    <w:rsid w:val="00782925"/>
    <w:rsid w:val="007A2DB1"/>
    <w:rsid w:val="007A6B63"/>
    <w:rsid w:val="007E1E7C"/>
    <w:rsid w:val="00844020"/>
    <w:rsid w:val="008A54BD"/>
    <w:rsid w:val="008C2FEB"/>
    <w:rsid w:val="008D4BB1"/>
    <w:rsid w:val="00915DD6"/>
    <w:rsid w:val="0099574F"/>
    <w:rsid w:val="009A1D5F"/>
    <w:rsid w:val="009F0592"/>
    <w:rsid w:val="00A652C5"/>
    <w:rsid w:val="00A91074"/>
    <w:rsid w:val="00AD44A4"/>
    <w:rsid w:val="00B11D1D"/>
    <w:rsid w:val="00B428C8"/>
    <w:rsid w:val="00B47FA9"/>
    <w:rsid w:val="00B51FDF"/>
    <w:rsid w:val="00B75513"/>
    <w:rsid w:val="00BC0753"/>
    <w:rsid w:val="00C01901"/>
    <w:rsid w:val="00C165BE"/>
    <w:rsid w:val="00C52958"/>
    <w:rsid w:val="00C970FE"/>
    <w:rsid w:val="00CA4888"/>
    <w:rsid w:val="00CB7796"/>
    <w:rsid w:val="00CC3987"/>
    <w:rsid w:val="00DB21A3"/>
    <w:rsid w:val="00DB4F44"/>
    <w:rsid w:val="00DF200E"/>
    <w:rsid w:val="00E0295A"/>
    <w:rsid w:val="00E07ED4"/>
    <w:rsid w:val="00E55FC0"/>
    <w:rsid w:val="00E870DA"/>
    <w:rsid w:val="00EA0AAE"/>
    <w:rsid w:val="00EB708D"/>
    <w:rsid w:val="00EC4588"/>
    <w:rsid w:val="00EF081A"/>
    <w:rsid w:val="00EF7C30"/>
    <w:rsid w:val="00F27318"/>
    <w:rsid w:val="00F3001B"/>
    <w:rsid w:val="00F47519"/>
    <w:rsid w:val="00F527BE"/>
    <w:rsid w:val="00F822CF"/>
    <w:rsid w:val="00F86859"/>
    <w:rsid w:val="00FB2757"/>
    <w:rsid w:val="00FF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D960D-5D91-4050-9DB8-E3762E71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Zagolovok2">
    <w:name w:val="_Заголовок Раздел (tkZagolovok2)"/>
    <w:basedOn w:val="a"/>
    <w:rsid w:val="00414410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Grif">
    <w:name w:val="_Гриф (tkGrif)"/>
    <w:basedOn w:val="a"/>
    <w:rsid w:val="00414410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1441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1441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14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144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14410"/>
  </w:style>
  <w:style w:type="paragraph" w:styleId="a3">
    <w:name w:val="List Paragraph"/>
    <w:basedOn w:val="a"/>
    <w:uiPriority w:val="34"/>
    <w:qFormat/>
    <w:rsid w:val="004144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4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462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86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603D"/>
  </w:style>
  <w:style w:type="paragraph" w:styleId="a8">
    <w:name w:val="footer"/>
    <w:basedOn w:val="a"/>
    <w:link w:val="a9"/>
    <w:uiPriority w:val="99"/>
    <w:unhideWhenUsed/>
    <w:rsid w:val="00486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6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Дуйшеналиев Урмат</cp:lastModifiedBy>
  <cp:revision>56</cp:revision>
  <cp:lastPrinted>2021-09-30T11:14:00Z</cp:lastPrinted>
  <dcterms:created xsi:type="dcterms:W3CDTF">2021-09-30T07:43:00Z</dcterms:created>
  <dcterms:modified xsi:type="dcterms:W3CDTF">2021-09-30T12:21:00Z</dcterms:modified>
</cp:coreProperties>
</file>