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41" w:type="pct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</w:tblGrid>
      <w:tr w:rsidR="00D05E95" w:rsidRPr="00D05E95" w:rsidTr="00D75C23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D05E95" w:rsidRDefault="00D05E95" w:rsidP="00D7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9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 бюджеттен берилүүчү бюджеттик кредиттер менен иштөө жөнүндө жобого</w:t>
            </w:r>
            <w:r w:rsidRPr="00D05E9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B4784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D05E9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-тиркеме</w:t>
            </w:r>
          </w:p>
        </w:tc>
      </w:tr>
    </w:tbl>
    <w:p w:rsidR="00D75C23" w:rsidRDefault="00D75C23" w:rsidP="00D75C2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D75C23" w:rsidRDefault="00D75C23" w:rsidP="00D75C2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D75C23" w:rsidRDefault="00CA3E78" w:rsidP="00D75C23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</w:t>
      </w:r>
      <w:proofErr w:type="spellEnd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төлөө </w:t>
      </w:r>
    </w:p>
    <w:p w:rsidR="00D05E95" w:rsidRDefault="00D05E95" w:rsidP="00D75C23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жөндөм</w:t>
      </w:r>
      <w:r w:rsidR="002C285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үн аныктоо</w:t>
      </w: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  <w:t>МЕТОДИКАСЫ</w:t>
      </w:r>
    </w:p>
    <w:p w:rsidR="00D75C23" w:rsidRPr="00D75C23" w:rsidRDefault="00D75C23" w:rsidP="00D75C2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D05E95" w:rsidRPr="002C2859" w:rsidRDefault="00D05E95" w:rsidP="00D75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1. </w:t>
      </w:r>
      <w:proofErr w:type="spellStart"/>
      <w:r w:rsidR="00CA3E7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Өтүнмө</w:t>
      </w:r>
      <w:proofErr w:type="spellEnd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ээ</w:t>
      </w:r>
      <w:r w:rsidR="00D75C2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синин/</w:t>
      </w:r>
      <w:proofErr w:type="spellStart"/>
      <w:r w:rsidR="00D75C2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</w:t>
      </w:r>
      <w:proofErr w:type="spellEnd"/>
      <w:r w:rsidR="00D75C2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(айылдык товар </w:t>
      </w:r>
      <w:proofErr w:type="spellStart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өндүрүүчүнүн</w:t>
      </w:r>
      <w:proofErr w:type="spellEnd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, ишкердин) төлөө жөндөм</w:t>
      </w:r>
      <w:r w:rsidR="002C285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үн аныктоо</w:t>
      </w:r>
    </w:p>
    <w:p w:rsidR="00D05E95" w:rsidRPr="002C2859" w:rsidRDefault="00CA3E7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 төлөө жөндөм</w:t>
      </w:r>
      <w:r w:rsidR="002C28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 талдоонун максаты кредиттин өлчөмү, аны тө</w:t>
      </w:r>
      <w:r w:rsidR="002C28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гүү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мөөнөттөрү</w:t>
      </w:r>
      <w:r w:rsidR="002C28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014A3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уюштуруу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14A3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бөлүгүндө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 берүүнүн</w:t>
      </w:r>
      <w:r w:rsidR="00014A3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кыйла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алгылыктуу шарттарын аныктоо болуп саналат. </w:t>
      </w:r>
    </w:p>
    <w:p w:rsidR="00D05E95" w:rsidRPr="00D05E95" w:rsidRDefault="00CA3E7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кредитти төлөө жөндөм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 аныктоо үчүн анын кирешелерин жана чыгымдарын и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зилд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өө сунуш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талат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Кирешелер үч багыт боюнча аныкталат:</w:t>
      </w:r>
    </w:p>
    <w:p w:rsidR="00D05E95" w:rsidRPr="00D05E95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эмгек акыдан алынган кирешелер;</w:t>
      </w:r>
    </w:p>
    <w:p w:rsidR="00D05E95" w:rsidRPr="00C00401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аманаттардан жана баалуу кагаздардан түшкөн кирешелер;</w:t>
      </w:r>
    </w:p>
    <w:p w:rsidR="00D05E95" w:rsidRPr="00C00401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 кирешелер.</w:t>
      </w:r>
    </w:p>
    <w:p w:rsidR="00D05E95" w:rsidRPr="00C00401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</w:t>
      </w:r>
      <w:r w:rsidR="00FF5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ымдардын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негизги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беренелерине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киреше жана башка салыктарды, алименттерди төлөө, мурда алынган кредиттер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мөөнөтүн узарт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ып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төлөө менен сатып алган товарлар боюнча ай сайын төлөмдөр, өмүр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 жана мүлктү камсыздандыруу боюнча төлөмдөр, коммуналдык төлөмдөр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ж.б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кирет.</w:t>
      </w:r>
    </w:p>
    <w:p w:rsidR="00D05E95" w:rsidRPr="00C00401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Кредит алуу үчүн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 ыйгарым укуктуу мамлекеттик органга, анын кредитти төлөө жөндөм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ырастоочу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 документтерди берет:</w:t>
      </w:r>
    </w:p>
    <w:p w:rsidR="00D05E95" w:rsidRPr="00C00401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иштеген жеринен эмгек акысы жөнүндө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маалымкат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(кармап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өлчөмүн жана түрлөрүн көрсөтүү менен); </w:t>
      </w:r>
    </w:p>
    <w:p w:rsidR="00D05E95" w:rsidRPr="00C00401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коммуналдык кызмат көрсөтүүлөр үчүн эсептешүүлөр боюнча китепче, батир акысы;</w:t>
      </w:r>
    </w:p>
    <w:p w:rsidR="00D05E95" w:rsidRPr="00D05E95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банктардагы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салымдар боюнча кирешелерди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ырастоочу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 документтер; </w:t>
      </w:r>
    </w:p>
    <w:p w:rsidR="00D05E95" w:rsidRPr="00D05E95" w:rsidRDefault="00C0040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ээсинин кирешелерин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ырастоочу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 документтер.</w:t>
      </w:r>
    </w:p>
    <w:p w:rsidR="00C00401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Жогоруда 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көрсөтүлгөн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документтердин негизинде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 төлөө жөндөм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үнө талдоо жүргүзүлөт, 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акыны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банктагы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салымдары, баалуу кагаздар боюнча пайыздарды жана башка кирешелерин эсепке алуу менен</w:t>
      </w:r>
      <w:r w:rsidR="00C004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орточо бир айлык киреше аныкталат.</w:t>
      </w:r>
    </w:p>
    <w:p w:rsidR="004D5820" w:rsidRDefault="004D5820">
      <w:pP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 w:type="page"/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Орточо </w:t>
      </w:r>
      <w:r w:rsidR="002C1E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бир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айлык чыгашалар төлөнүүчү киреше салыгынын жана башка салыктардын, эмгек акыдан чегерүүлөрдүн (алименттерди, мурда берилген ссудаларды төлөө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ж.б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.), батир акысын жана коммуналдык кызматтар үчүн төлөөлөрдүн жана башка чыгымдардын өлчөмдөрүн эсепке алуу менен аныкталат.</w:t>
      </w:r>
    </w:p>
    <w:p w:rsidR="00D05E95" w:rsidRPr="00D05E95" w:rsidRDefault="002C1EC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Окшош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ыкма менен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кепилдик берүүчү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төлөө жөндөм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нө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талд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оо жүргүзүлөт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Документтерди жана кепилдик берүүчүнү талдоонун натыйжасында алынган маалыматтар боюнча кирешелери, чыгымдары жана пайдасы аныкталат. Алынган маалыматтардын негизинде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негизги карызды жана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пайыздарын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төлөө мүмкүндүгү, ал эми кепилдик берүүчү</w:t>
      </w:r>
      <w:r w:rsidR="002C1E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 –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төлөй албаган учурда, аларды төлө</w:t>
      </w:r>
      <w:r w:rsidR="002C1E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="00FF5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мүмкүнчүлүгүнө талдоо жүргүзүлөт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Бул үчүн:</w:t>
      </w:r>
    </w:p>
    <w:p w:rsidR="00D05E95" w:rsidRPr="00D05E95" w:rsidRDefault="002C1EC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суралган кредит боюнча негизги карызды жана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пайыздарын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ай сайын төлөй турган суммасы аныкталат;</w:t>
      </w:r>
    </w:p>
    <w:p w:rsidR="00D05E95" w:rsidRPr="00D05E95" w:rsidRDefault="002C1EC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негизги карыздын жана алар боюнча пайыздардын 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 сайын төлөй турган суммасынын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орточо бир айлык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таза кирешенин суммасына карата катышы катары аныкталуучу кредит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жөндөм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үнүн коэффициенти каралат: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K</w:t>
      </w:r>
      <w:r w:rsidR="004775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=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Mп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/ </w:t>
      </w:r>
      <w:r w:rsidR="00B604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bookmarkStart w:id="0" w:name="_GoBack"/>
      <w:bookmarkEnd w:id="0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мында:</w:t>
      </w:r>
    </w:p>
    <w:p w:rsidR="00A129FB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proofErr w:type="spellStart"/>
      <w:r w:rsidR="00A129FB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K</w:t>
      </w:r>
      <w:r w:rsidR="004775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proofErr w:type="spellEnd"/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</w:t>
      </w:r>
      <w:r w:rsidR="00A129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129FB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кредитке жөндөм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A129FB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үнүн коэффициенти</w:t>
      </w:r>
      <w:r w:rsidR="00A129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D05E95" w:rsidRPr="00D05E95" w:rsidRDefault="006D7FDC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Mп</w:t>
      </w:r>
      <w:proofErr w:type="spellEnd"/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кредит боюнча ай сайын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мд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суммасы;</w:t>
      </w:r>
    </w:p>
    <w:p w:rsidR="00D05E95" w:rsidRPr="00D05E95" w:rsidRDefault="006D7FDC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775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бир айлык кирешенин суммасы.</w:t>
      </w:r>
    </w:p>
    <w:p w:rsidR="00D05E95" w:rsidRPr="00D05E95" w:rsidRDefault="006D7FDC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Коэффициент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ай сайын кредитти төлө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жөндөм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 анык</w:t>
      </w:r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тайт. </w:t>
      </w:r>
      <w:proofErr w:type="spellStart"/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Коэффициенттин</w:t>
      </w:r>
      <w:proofErr w:type="spellEnd"/>
      <w:r w:rsidR="000766A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чоңдугу 0,3</w:t>
      </w:r>
      <w:r w:rsidR="00FF5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төн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ашык эмес;</w:t>
      </w:r>
    </w:p>
    <w:p w:rsidR="00D05E95" w:rsidRPr="00D05E95" w:rsidRDefault="000766A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кирешелердеги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жогоруда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саналган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чыгымдардын үлүшүн, анын ичинде кредитти төлөө боюнча чыгымдарды аныкт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аган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коэффициент эсептелет.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Кдр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= (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Мп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+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Мр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/ Д, мында: </w:t>
      </w:r>
    </w:p>
    <w:p w:rsidR="00A129FB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129FB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Кдр</w:t>
      </w:r>
      <w:proofErr w:type="spellEnd"/>
      <w:r w:rsidR="006440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</w:t>
      </w:r>
      <w:r w:rsidR="00A129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129FB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чыгымдардын</w:t>
      </w:r>
      <w:r w:rsidR="00A129FB" w:rsidRPr="00A129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үлүшүн аныктоочу коэффициент</w:t>
      </w:r>
    </w:p>
    <w:p w:rsidR="00D05E95" w:rsidRPr="00D05E95" w:rsidRDefault="00FF5628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6440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Mр</w:t>
      </w:r>
      <w:proofErr w:type="spellEnd"/>
      <w:r w:rsidR="006440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</w:t>
      </w:r>
      <w:r w:rsidR="004775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кредит боюнча </w:t>
      </w:r>
      <w:proofErr w:type="spellStart"/>
      <w:r w:rsidR="004775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төлөм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тышкары, </w:t>
      </w:r>
      <w:proofErr w:type="spellStart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proofErr w:type="spellEnd"/>
      <w:r w:rsidR="00CA3E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proofErr w:type="spellEnd"/>
      <w:r w:rsidR="006440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 сайын</w:t>
      </w:r>
      <w:r w:rsidR="006440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чыгымдарынын суммасы;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Коэффициент жогоруда аталган чыгымдардын жана кредитти </w:t>
      </w:r>
      <w:r w:rsidR="006440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төгүү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чыгымдардын кардардын бюджетине болгон таасиринин деңгээлин көрсөтөт. Эгерде коэффициент 0,</w:t>
      </w:r>
      <w:r w:rsidR="007D51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FF5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ден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ашпаса, кредит берилет.</w:t>
      </w:r>
    </w:p>
    <w:p w:rsidR="00D05E95" w:rsidRPr="00D05E95" w:rsidRDefault="00D05E95" w:rsidP="00303481">
      <w:pPr>
        <w:widowControl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2. </w:t>
      </w:r>
      <w:proofErr w:type="spellStart"/>
      <w:r w:rsidR="0030348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Өтүнмө</w:t>
      </w:r>
      <w:proofErr w:type="spellEnd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ээсинин/</w:t>
      </w:r>
      <w:proofErr w:type="spellStart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</w:t>
      </w:r>
      <w:proofErr w:type="spellEnd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(юридикалык жактын) төлөө жөндөм</w:t>
      </w:r>
      <w:r w:rsidR="0030348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үн аныктоо</w:t>
      </w:r>
    </w:p>
    <w:p w:rsidR="00D05E95" w:rsidRPr="00D05E95" w:rsidRDefault="00D05E95" w:rsidP="00D75C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Юридикалык жактын ишенимдүү финансылык абалы анын </w:t>
      </w:r>
      <w:r w:rsidR="00303481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төлөө жөндөм</w:t>
      </w:r>
      <w:r w:rsidR="003034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="00303481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үнүн жана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кредитке жөндөм</w:t>
      </w:r>
      <w:r w:rsidR="003034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үнүн негизи болуп саналат, </w:t>
      </w:r>
      <w:r w:rsidR="003034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тактап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айтканда чарбалык келишимдерге ылайык төлө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 талаптар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өз убагында канааттандыруу, кредитти жана пайыздарды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кайтаруу, кызматкерлерге эмгек акыларын төлөө, бюдже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тке төлөмдөрдү жана салыктарды киргизүү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жөндөм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ү.</w:t>
      </w:r>
    </w:p>
    <w:p w:rsidR="00D05E95" w:rsidRPr="00D05E95" w:rsidRDefault="0082795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Буга байланыштуу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финансылык абалды баалоо кредит берүүнүн максатка ылайыктуулугун жана аны берүүнүн шарттарын аныктоо, кредитти кайра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түзүмдөштүрүү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жөнүндө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(башкача айтканда, кредит берүүнүн негизги шарттарын өзгөртүү) чечимди кабыл алуу, берилген ар бир кредит жана көзөмөлдө турган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карыздын көлөмүнүн сапаты боюнча агент кабыл алган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тобокелдиктерди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баалоо максатында жүргүзүлөт.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лоонун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жыйынтыгы болуп юридикалык жактын финансылык абалынын сапаты жөнүндө тыянак саналат: жакшы, орточо (канааттан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дыр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арлык) же жаман (канааттан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дыр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ык эмес) финансылык абал. Юридикалык жактын финансылык абалын баалоонун методикасы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тобокелдиктерди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сандык жана сапаттык талдоо жүргүзүүгө негизделет.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Тобокелдиктерди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сандык талдоо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тобокелдиктердин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279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827951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алардын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финансылык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коэффициенттерин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мүнөздөөчү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 топторун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баалоону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болжолдойт:</w:t>
      </w:r>
    </w:p>
    <w:p w:rsidR="00D05E95" w:rsidRPr="00D05E95" w:rsidRDefault="0082795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ишкананын активдеринин өтпөй калуу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тобокелдигин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(өтүмдүүлүк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коэффициентин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);</w:t>
      </w:r>
    </w:p>
    <w:p w:rsidR="00D05E95" w:rsidRPr="00D05E95" w:rsidRDefault="00827951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ишкананын финансылык туруктуулугун төмөндөтүү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тобокелдигин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</w:t>
      </w:r>
      <w:proofErr w:type="spellStart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зайымдык</w:t>
      </w:r>
      <w:proofErr w:type="spellEnd"/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каражаттардын катышынын коэффициенти,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жаттар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камсыз болуу коэффициенти).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Тобокелдиктердин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сапаттык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талдоосун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жүргүзүүдө сандык көрсөткүчтөрдө </w:t>
      </w:r>
      <w:proofErr w:type="spellStart"/>
      <w:r w:rsidR="001F5FC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көрсөтүлүшү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мүмкүн болбогон маалымат каралат. Мындай талдоону жүргүзүү үчүн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тарабынан берилген маалыматтар, ошондой эле маалымат базаларынын жана жалпыга маалымдоо каражаттарынын (алардын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аныктыгын</w:t>
      </w:r>
      <w:proofErr w:type="spellEnd"/>
      <w:r w:rsidR="001F5FC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түзөтүү мүмкүндүгү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менен) маалыматтары </w:t>
      </w:r>
      <w:r w:rsidR="001F5FC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пайдаланылат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D05E95" w:rsidRPr="00D05E95" w:rsidRDefault="003F5130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Кайрадан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түзүлгөн юридикалык жакка кредит берүү жөнүндө маселе каралып жаткан учурга, юридикалык жактын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учурдагы 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финансылык абалына түз коркунучтардын жоктугуна байланыштуу юридикалык жактын финансылык абалы орточо деп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эсептелет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1) Юридикалык жактын финансылык абалын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баалоодо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өтүмдүүлүктүн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финансылык туруктуулуктун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коэффициенттери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A4C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пайдаланылат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а) </w:t>
      </w:r>
      <w:proofErr w:type="spellStart"/>
      <w:r w:rsidR="006D7FD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түмдүүлүктүн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төлөө жөндөм</w:t>
      </w:r>
      <w:r w:rsidR="0053572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үнүн көрсөткүчтөрү.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Юридикалык жактын финансылык а</w:t>
      </w:r>
      <w:r w:rsidR="006667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балын кыска мөөнөттүү келечектеги көз карашта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баалоодо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66738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баалоонун критерийлери катары 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өтүмдүүлүк жана төлөө жөндөм</w:t>
      </w:r>
      <w:r w:rsidR="006667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үнүн көрсөткүчтөрү, </w:t>
      </w:r>
      <w:proofErr w:type="spellStart"/>
      <w:r w:rsidR="006D7FD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6667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.а</w:t>
      </w:r>
      <w:proofErr w:type="spellEnd"/>
      <w:r w:rsidR="006667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кыска мөөнөттүү милдеттенмелер боюнча эсептерд</w:t>
      </w:r>
      <w:r w:rsidR="00FF5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 убагында жана толук көлөмдө жүргүзүү жөндөм</w:t>
      </w:r>
      <w:r w:rsidR="006667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 </w:t>
      </w:r>
      <w:r w:rsidR="006667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чыгат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4D5820" w:rsidRDefault="004D5820">
      <w:pP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 w:type="page"/>
      </w:r>
    </w:p>
    <w:p w:rsidR="00D05E95" w:rsidRPr="00D05E95" w:rsidRDefault="00D05E95" w:rsidP="00D05E95">
      <w:pPr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1-таблица</w:t>
      </w:r>
    </w:p>
    <w:p w:rsidR="00D05E95" w:rsidRPr="00D05E95" w:rsidRDefault="004D5820" w:rsidP="00D05E95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</w:t>
      </w:r>
      <w:proofErr w:type="spellEnd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(юридикалык жактын) кыска мөөнөттүү келечекте төлөө жөндөм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үн аныктоо методикасы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636"/>
        <w:gridCol w:w="2019"/>
        <w:gridCol w:w="2415"/>
        <w:gridCol w:w="792"/>
      </w:tblGrid>
      <w:tr w:rsidR="00D05E95" w:rsidRPr="0047267B" w:rsidTr="00A129FB">
        <w:trPr>
          <w:trHeight w:val="353"/>
          <w:tblHeader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Көрсөткүчтүн аталышы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Коэффициент</w:t>
            </w:r>
            <w:r w:rsidR="00D75C23"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-</w:t>
            </w:r>
            <w:r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тер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47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Эсептөө формуласы</w:t>
            </w:r>
          </w:p>
        </w:tc>
        <w:tc>
          <w:tcPr>
            <w:tcW w:w="1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Кыскача мүнөздөмө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Чеги</w:t>
            </w:r>
          </w:p>
        </w:tc>
      </w:tr>
      <w:tr w:rsidR="00D05E95" w:rsidRPr="0047267B" w:rsidTr="00A129FB">
        <w:trPr>
          <w:trHeight w:val="1822"/>
        </w:trPr>
        <w:tc>
          <w:tcPr>
            <w:tcW w:w="9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Өтүмдүүлүктүн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көрсөткүчтөрү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B2663A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өтүмдүүлүктүн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коэффициенти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B2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Жүгүрт</w:t>
            </w:r>
            <w:r w:rsidR="00B2663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активдер</w:t>
            </w:r>
            <w:r w:rsidR="00B2663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/</w:t>
            </w:r>
            <w:r w:rsidR="00B2663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ыска мөөнөттүү милдеттенмелер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B2663A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милдеттенмелердин бир сомуна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активдердин канча сому туура келе тургандыгын көрсөтүү менен активдердин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өтүмдүүлүгүнө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жалпы баа берет. </w:t>
            </w:r>
          </w:p>
          <w:p w:rsidR="00D05E95" w:rsidRPr="00B2663A" w:rsidRDefault="00B2663A" w:rsidP="00B2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Уш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ул көрсөткүчтү эсептөөнүн логикасы ишкана кыска мөөнөттүү милдеттенмелерди негизинен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активдердин эсебинен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өгөт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, демек эгерде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 активдер чоңдугу боюнча учурдагы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милдеттенмелерден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са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, ишкана ийгиликтүү иштеп жат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ат деп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каралат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&gt;2</w:t>
            </w:r>
          </w:p>
        </w:tc>
      </w:tr>
      <w:tr w:rsidR="00D05E95" w:rsidRPr="0047267B" w:rsidTr="00A129FB">
        <w:tc>
          <w:tcPr>
            <w:tcW w:w="9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Тез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өтүмдүүлүктүн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коэффициенти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0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(Жүгүрт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активдер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и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ТМЗ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кошпогондо)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/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ыска мөөнөттүү милдеттенмелер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Өзүнүн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мазмундук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ааниси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боюнча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уш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ул коэффициент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өтүмдүүлүк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коэффициентине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окшош. Бирок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активдердин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кыйла </w:t>
            </w:r>
            <w:r w:rsidR="0047754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тар чөйрөсү боюнча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эсептел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ет, </w:t>
            </w:r>
            <w:proofErr w:type="spellStart"/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эсептөөдөн</w:t>
            </w:r>
            <w:proofErr w:type="spellEnd"/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алардын кыйла аз өтүмдүү бөлүгү –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өндүрүштүк запастар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алып салынат. </w:t>
            </w:r>
          </w:p>
          <w:p w:rsidR="00D05E95" w:rsidRPr="0047267B" w:rsidRDefault="00D05E95" w:rsidP="006D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Мындай алып салуунун логикасы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запастардын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олуттуу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аз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өтүмдүүлүгүндө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гана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эмес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, андан да маанилүүсү өндүрүштүк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запастарды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аргасыз саткан учурда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түшүрү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үгө</w:t>
            </w:r>
            <w:proofErr w:type="spellEnd"/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мүмкүн болгон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акча каражаттары, аларды сатып алуу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боюнча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сарптоонун</w:t>
            </w:r>
            <w:proofErr w:type="spellEnd"/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олуттуу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төмөн болуу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мүмкүн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дүгүндө</w:t>
            </w:r>
            <w:proofErr w:type="spellEnd"/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турат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Ошондуктан ишкананын кыска мөөнөттүү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милдеттенмелерден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, товардык-материалдык 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запастарды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сатууга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барбай туруп, төлөп кутулуу жөндөм</w:t>
            </w:r>
            <w:r w:rsidR="000525E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дүүлүг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үн аныктоо </w:t>
            </w:r>
            <w:r w:rsidR="00D876F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абдан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маанилүү болуп саналат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&gt;1</w:t>
            </w:r>
          </w:p>
        </w:tc>
      </w:tr>
      <w:tr w:rsidR="00D05E95" w:rsidRPr="0047267B" w:rsidTr="00A129FB">
        <w:tc>
          <w:tcPr>
            <w:tcW w:w="9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Абсолюттук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өтүмдүүлүктүн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коэффициенти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Акча каражаттары/кыска мөөнөттүү милдеттенмелер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73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Абсолюттук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өтүмдүүлүктүн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коэффиц</w:t>
            </w:r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иенти ишкананын </w:t>
            </w:r>
            <w:proofErr w:type="spellStart"/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өтүмдүүлүгүнүн</w:t>
            </w:r>
            <w:proofErr w:type="spellEnd"/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кыйла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катуу критерийи болуп саналат жана </w:t>
            </w:r>
            <w:r w:rsidR="00731F7E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зарыл бол</w:t>
            </w:r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гондо кыска мөөнөттүү</w:t>
            </w:r>
            <w:r w:rsidR="00731F7E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зайымдык</w:t>
            </w:r>
            <w:proofErr w:type="spellEnd"/>
            <w:r w:rsidR="00731F7E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милдеттенмелердин канча бөлүгүн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башка актив</w:t>
            </w:r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дерди пайдаланууга барбай туруп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болгон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акча каражаттарын пайдалануу менен гана </w:t>
            </w:r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тез арада төгүү </w:t>
            </w:r>
            <w:proofErr w:type="spellStart"/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мүмкүндүгүн</w:t>
            </w:r>
            <w:proofErr w:type="spellEnd"/>
            <w:r w:rsidR="00731F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көрсөтөт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&gt;0,2</w:t>
            </w:r>
          </w:p>
        </w:tc>
      </w:tr>
      <w:tr w:rsidR="00D05E95" w:rsidRPr="0047267B" w:rsidTr="00A129FB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Төлөө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жөндөм</w:t>
            </w:r>
            <w:r w:rsidR="005562C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дүүлү</w:t>
            </w:r>
            <w:r w:rsidR="006D7FD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="005562C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г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үнүн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көрсөткүчтөрү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5562C4" w:rsidP="005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каражаттары</w:t>
            </w:r>
            <w:r w:rsidR="006D7FD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ын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чоңдугу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5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Жүгүрт</w:t>
            </w:r>
            <w:r w:rsidR="005562C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активдер</w:t>
            </w:r>
            <w:r w:rsidR="005562C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/кыска мөөнөттүү милдеттенмелер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2C307B" w:rsidP="0047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Уш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ул көрсөткүч ишкананын жүгүртүү активдеринин курамында болгон 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жүгүртүү каражаттарынын чоңдугун аныктайт. 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47754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жүгүртүү каражаттарын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көбөй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түү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ишкананын иш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активдүүлүгүнүн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жогорулашы жөнүндө, ал эми алардын азай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туу, тескерисинче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анын 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иш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активдүүлүгүнүн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төмөндөшү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жөнүндө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5029F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мүнөздөйт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 </w:t>
            </w:r>
            <w:r w:rsidR="00A129FB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0,2</w:t>
            </w:r>
          </w:p>
        </w:tc>
      </w:tr>
      <w:tr w:rsidR="00D05E95" w:rsidRPr="0047267B" w:rsidTr="00A129FB">
        <w:tc>
          <w:tcPr>
            <w:tcW w:w="9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Төлөө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жөндөм</w:t>
            </w:r>
            <w:r w:rsidR="001B099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дүүлү</w:t>
            </w:r>
            <w:r w:rsidR="005C3DA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="001B099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г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үнүн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көрсөткүчтөрү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1B099D" w:rsidP="001B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Жеке 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капиталдын </w:t>
            </w:r>
            <w:proofErr w:type="spellStart"/>
            <w:r w:rsidR="00D05E95" w:rsidRPr="005878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ман</w:t>
            </w:r>
            <w:r w:rsidRPr="005878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е</w:t>
            </w:r>
            <w:r w:rsidR="00D05E95" w:rsidRPr="005878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врдүүлүгү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1B099D" w:rsidP="001B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 жүгүртүү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ынын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чоңдугу/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жеке 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капиталдын чоңдугу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1B099D" w:rsidP="0047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Уш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ул коэффициент компаниянын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капиталынын кайсы бөлүгү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иш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 каржылоо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үчүн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пайдаланыларын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.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жүгүртүү каражаттарына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салынгандыгын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жана кайсы бөлүгү </w:t>
            </w:r>
            <w:proofErr w:type="spellStart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капиталдаштырылганын</w:t>
            </w:r>
            <w:proofErr w:type="spellEnd"/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көрсөтөт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&gt;0</w:t>
            </w:r>
          </w:p>
        </w:tc>
      </w:tr>
      <w:tr w:rsidR="00D05E95" w:rsidRPr="0047267B" w:rsidTr="00A129FB">
        <w:tc>
          <w:tcPr>
            <w:tcW w:w="9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5C3DA3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жүгүртүү каражаттары менен камсыз болуунун коэффициенти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3" w:rsidRDefault="005C3DA3" w:rsidP="005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аражаттар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</w:t>
            </w:r>
            <w:r w:rsidR="00D05E95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/жүгүр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</w:p>
          <w:p w:rsidR="00D05E95" w:rsidRPr="005C3DA3" w:rsidRDefault="00D05E95" w:rsidP="005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</w:t>
            </w:r>
            <w:r w:rsidR="005C3DA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 а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ктивдер</w:t>
            </w:r>
            <w:r w:rsidR="005C3DA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6D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Финансылык </w:t>
            </w:r>
            <w:r w:rsidR="005C3DA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планда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компаниянын 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учурдагы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иши кыска мөөнөттүү активдерди жана пассивдерди туруктуу </w:t>
            </w:r>
            <w:proofErr w:type="spellStart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трансформация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лоодо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сөтүлөт. Ийгиликтүү иштеп жаткан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ишкананын 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каалаган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активдеринин эки каржылоо булагы бар: 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жана тартылган. 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Эгерде ишканада жеке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жүгүртүү каражаттарынын жетишсиздиги байкалса, </w:t>
            </w:r>
            <w:r w:rsidR="006D7FD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эреже катары</w:t>
            </w:r>
            <w:r w:rsidR="006D7FDC"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бул ишкана</w:t>
            </w:r>
            <w:r w:rsidR="006D7FD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нын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балансынын түзүмү канааттан</w:t>
            </w:r>
            <w:r w:rsidR="00111B9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дыр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арлык эмес, финансылык абалы туруксуз. </w:t>
            </w:r>
            <w:r w:rsidR="006E0B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Жеке 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жүгүртүү каражаттарынын болушу уюмдун финансылык туруктуулугунун </w:t>
            </w:r>
            <w:r w:rsidR="006E0B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маанилүү көрсөткүчтөрүнүн бири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болуп саналат, </w:t>
            </w:r>
            <w:r w:rsidR="006E0B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жүгүртүү капиталынын жоктугу уюмдун бардык жүгүрт</w:t>
            </w:r>
            <w:r w:rsidR="006E0B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каражаттары </w:t>
            </w:r>
            <w:proofErr w:type="spellStart"/>
            <w:r w:rsidR="006E0B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зайымдык</w:t>
            </w:r>
            <w:proofErr w:type="spellEnd"/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булактарынын эсебинен түзүлгөндүгү</w:t>
            </w:r>
            <w:r w:rsidR="003C3B0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жөнүндө</w:t>
            </w: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6E0B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күбөлөндүрөт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7267B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67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&gt;0,1</w:t>
            </w:r>
          </w:p>
        </w:tc>
      </w:tr>
    </w:tbl>
    <w:p w:rsidR="00D05E95" w:rsidRPr="00D05E95" w:rsidRDefault="00710134" w:rsidP="00D05E9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б) ф</w:t>
      </w:r>
      <w:r w:rsidR="00D05E95"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инансылык туруктуулуктун көрсөткүчтөрү</w:t>
      </w:r>
    </w:p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Юридикалык жактын финансылык абалынын негизги мүнөздөмөлөрүнүн бири узак мөөнөттүү келечек </w:t>
      </w:r>
      <w:r w:rsidR="003C3B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позициясын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 анын туруктуулугу болуп саналат. Чарбакер субъекттин өзүнүн узак мөөнөттүү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зайымдары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өз убагында жооп берүү жөндөм</w:t>
      </w:r>
      <w:r w:rsidR="003C3B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дүүлүг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ү, анын узак мөөнөттүү келеч</w:t>
      </w:r>
      <w:r w:rsidR="003C3B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ектеги финансылык туруктуулугу жөнүндө күбөлөндүрөт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3C3B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Ушуга байланыштуу дүйнөлүк эсептик-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аналитикалык </w:t>
      </w:r>
      <w:r w:rsidR="003C3B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практика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ишкананын финансылык туруктуулугуна баа</w:t>
      </w:r>
      <w:r w:rsidR="003C3B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бир катар көрсөткүчтөр системасын иштеп чыккан.</w:t>
      </w:r>
    </w:p>
    <w:p w:rsidR="00D05E95" w:rsidRPr="00D05E95" w:rsidRDefault="00D05E95" w:rsidP="00D05E95">
      <w:pPr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2-таблица </w:t>
      </w:r>
    </w:p>
    <w:p w:rsidR="00D05E95" w:rsidRPr="00D05E95" w:rsidRDefault="003C3B06" w:rsidP="00D05E95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Өтүнмө</w:t>
      </w:r>
      <w:proofErr w:type="spellEnd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ээсинин/</w:t>
      </w:r>
      <w:proofErr w:type="spellStart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</w:t>
      </w:r>
      <w:proofErr w:type="spellEnd"/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(юридикалык жактын) узак мөөнөттүү келечекте кредитке жөндөм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дүүлүг</w:t>
      </w:r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үн аныктоо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нун</w:t>
      </w:r>
      <w:r w:rsidR="00D05E95"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методикасы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771"/>
        <w:gridCol w:w="2555"/>
        <w:gridCol w:w="1700"/>
        <w:gridCol w:w="697"/>
      </w:tblGrid>
      <w:tr w:rsidR="00A129FB" w:rsidRPr="00424319" w:rsidTr="00424319">
        <w:trPr>
          <w:trHeight w:val="353"/>
          <w:tblHeader/>
        </w:trPr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Көрсөткүчтүн аталышы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4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Коэффициенттер</w:t>
            </w:r>
            <w:proofErr w:type="spellEnd"/>
          </w:p>
        </w:tc>
        <w:tc>
          <w:tcPr>
            <w:tcW w:w="1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E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Эсептөө формуласы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Кыскача мүнөздөмө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Чеги</w:t>
            </w:r>
          </w:p>
        </w:tc>
      </w:tr>
      <w:tr w:rsidR="00A129FB" w:rsidRPr="00424319" w:rsidTr="00424319">
        <w:trPr>
          <w:trHeight w:val="524"/>
        </w:trPr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Финансылык туруктуулуктун көрсөткүчтөрү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Автономиянын коэффициенти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EE712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капитал/баланстын жыйынтыгы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EE7125" w:rsidRDefault="00D05E95" w:rsidP="00EE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Коэффициент ишкананын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пассивдеринде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каражаттардын үлүшүн чагылдырат жана менчик ээлери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үчүн да жана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кредиторлор үчүн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да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кызыгуу 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жаратат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Пассивдерде 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каражаттардын үлүшү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зайымдык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каражаттардын үлүшү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нөн 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ашык болууга тийиш деп эсептелет. Автономиянын жогорку коэффициенти финансылык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тобокелдикти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кыскартат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жана сырттан кошумча каражаттарды тартууга мүмкүнчүлүк берет. Бирок </w:t>
            </w:r>
            <w:r w:rsidR="00EE712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өтө ири 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чоңдугу кр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едиттик ресурстарды </w:t>
            </w:r>
            <w:proofErr w:type="spellStart"/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тартууну</w:t>
            </w:r>
            <w:proofErr w:type="spellEnd"/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билбегендиги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тууралуу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күбөлөндүрүшү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мүмкүн. Коэффициент</w:t>
            </w:r>
            <w:r w:rsidR="00EE71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тин өзгөрүүсү ишкананын ишинин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кеңейүүсүн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же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кыскаруусун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көрсөтүшү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мүмкүн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A129FB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&gt;0,3</w:t>
            </w:r>
          </w:p>
        </w:tc>
      </w:tr>
      <w:tr w:rsidR="00A129FB" w:rsidRPr="00424319" w:rsidTr="00424319"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Финансылык туруктуулуктун көрсөткүчтөрү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9F0993" w:rsidP="009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жана </w:t>
            </w:r>
            <w:proofErr w:type="spellStart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зайымдык</w:t>
            </w:r>
            <w:proofErr w:type="spellEnd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каражаттардын 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ыш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ынын коэффициенти (</w:t>
            </w:r>
            <w:proofErr w:type="spellStart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капиталдашты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руунун</w:t>
            </w:r>
            <w:proofErr w:type="spellEnd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коэффициенти)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9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Милдеттенмелердин чоңдугу/</w:t>
            </w:r>
            <w:r w:rsidR="009F099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капитал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9F0993" w:rsidP="001C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Уш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ул коэффициент төмөнкүдөй </w:t>
            </w:r>
            <w:proofErr w:type="spellStart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интерпретация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ээ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ард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салынган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ар бир сомуна </w:t>
            </w:r>
            <w:proofErr w:type="spellStart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зайымдык</w:t>
            </w:r>
            <w:proofErr w:type="spellEnd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каражаттардын канча сому туура келе</w:t>
            </w:r>
            <w:r w:rsidR="001C3B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ри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жана финансылык туруктуулуктун </w:t>
            </w:r>
            <w:proofErr w:type="spellStart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тобокелдигинин</w:t>
            </w:r>
            <w:proofErr w:type="spellEnd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жетиш</w:t>
            </w:r>
            <w:r w:rsidR="001C3B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түү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жогорку деңгээли </w:t>
            </w:r>
            <w:r w:rsidR="001C3B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жөнүндө күбөлөндүрөт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A129FB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  <w:r w:rsidR="009769A3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</w:t>
            </w:r>
          </w:p>
        </w:tc>
      </w:tr>
      <w:tr w:rsidR="00A129FB" w:rsidRPr="00424319" w:rsidTr="00424319"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1C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Узак мөөнөтт</w:t>
            </w:r>
            <w:r w:rsidR="001C3B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салымдардын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түзүмүнүн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коэффициенти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Узак мөөнөттүү милдеттенмелер/жүгүртүү</w:t>
            </w:r>
            <w:r w:rsidR="006D7FD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дөн тышкар</w:t>
            </w:r>
            <w:r w:rsidR="001C3B7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ы активдер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E6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Узак мөөнөтт</w:t>
            </w:r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үү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салымдардын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түзүмүнүн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коэффициентин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эсептөөнүн </w:t>
            </w:r>
            <w:r w:rsidR="0047754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негизги идеясы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узак мөөнөттүү кредиттер жана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зайымдар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негизги каражаттарды жана башка </w:t>
            </w:r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капиталдык салымдарды каржылоо үчүн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пайдаланылат дег</w:t>
            </w:r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ен божомолго негизделет. Ошону менен бирге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негизги каражаттардын жана башка жүгүртүүдөн тышкар</w:t>
            </w:r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ы активдердин кайсы бөлүгү </w:t>
            </w:r>
            <w:r w:rsidR="00E65316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(%)</w:t>
            </w:r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тышкы инвесторлордун эсебинен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каржылана</w:t>
            </w:r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рын</w:t>
            </w:r>
            <w:proofErr w:type="spellEnd"/>
            <w:r w:rsidR="00E6531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көрсөтөт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9769A3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0,5&gt;</w:t>
            </w:r>
          </w:p>
        </w:tc>
      </w:tr>
      <w:tr w:rsidR="00A129FB" w:rsidRPr="00424319" w:rsidTr="00424319"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Финансылык </w:t>
            </w:r>
            <w:proofErr w:type="spellStart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леверидждин</w:t>
            </w:r>
            <w:proofErr w:type="spellEnd"/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деңгээли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D05E95" w:rsidP="002A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Узак мөөнөттүү милдеттенмелер/</w:t>
            </w:r>
            <w:r w:rsidR="002A4FB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капитал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2A4FBA" w:rsidP="002A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Уш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ул коэффициент ишкананын финансылык туруктуулугунун негизги мүнөздөмөлөрү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нүн бири болуп эсептелет, анын экономикалык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интерпретация-сы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төмөнкүдөй: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каражаттардын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ар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бир сомуна </w:t>
            </w:r>
            <w:proofErr w:type="spellStart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зайымдык</w:t>
            </w:r>
            <w:proofErr w:type="spellEnd"/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апиталдын канча сому туура келери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424319" w:rsidRDefault="009769A3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2431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</w:t>
            </w:r>
            <w:r w:rsidR="00D05E95" w:rsidRPr="0042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5C23" w:rsidRDefault="00D75C23" w:rsidP="00D05E9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05E95" w:rsidRPr="00D75C23" w:rsidRDefault="00D05E95" w:rsidP="00D05E9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2) Юридикалык жактын ишинин натыйжалуулугун </w:t>
      </w:r>
      <w:proofErr w:type="spellStart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баалоодо</w:t>
      </w:r>
      <w:proofErr w:type="spellEnd"/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рентабелдүүлүктүн көрсөткүчтөрү </w:t>
      </w:r>
      <w:r w:rsidR="002A4F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пайдаланылат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Рентабелдүүлүктүн көрсөткүчтөрү юридикалык жактын ишине салынган каражаттардын жалпы натыйжалуулугун баа</w:t>
      </w:r>
      <w:r w:rsidR="002A4F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</w:t>
      </w:r>
      <w:r w:rsidR="002A4F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арналган</w:t>
      </w: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A4FBA" w:rsidRDefault="002A4FBA">
      <w:pP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 w:type="page"/>
      </w:r>
    </w:p>
    <w:p w:rsidR="00D05E95" w:rsidRPr="002C2859" w:rsidRDefault="00D05E95" w:rsidP="00D05E95">
      <w:pPr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3-таблица</w:t>
      </w:r>
    </w:p>
    <w:p w:rsidR="00D05E95" w:rsidRPr="002C2859" w:rsidRDefault="00D05E95" w:rsidP="00D05E95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Арыз берүүчүнүн/</w:t>
      </w:r>
      <w:proofErr w:type="spellStart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</w:t>
      </w:r>
      <w:proofErr w:type="spellEnd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(юридикалык жактын) ишинин </w:t>
      </w:r>
      <w:proofErr w:type="spellStart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рентабелдүүлүгүн</w:t>
      </w:r>
      <w:proofErr w:type="spellEnd"/>
      <w:r w:rsidRPr="00D05E9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аныктоонун методикасы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517"/>
        <w:gridCol w:w="2068"/>
        <w:gridCol w:w="2070"/>
        <w:gridCol w:w="930"/>
      </w:tblGrid>
      <w:tr w:rsidR="009769A3" w:rsidRPr="007F03A4" w:rsidTr="00D75C23">
        <w:trPr>
          <w:trHeight w:val="353"/>
          <w:tblHeader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Көрсөткүчтүн аталышы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Коэффи</w:t>
            </w:r>
            <w:r w:rsidR="00D75C23"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-</w:t>
            </w:r>
            <w:r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циенттер</w:t>
            </w:r>
            <w:proofErr w:type="spellEnd"/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7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Эсептөө формуласы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Кыскача мүнөздөмө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>Чеги</w:t>
            </w:r>
          </w:p>
        </w:tc>
      </w:tr>
      <w:tr w:rsidR="009769A3" w:rsidRPr="007F03A4" w:rsidTr="00D75C23">
        <w:trPr>
          <w:trHeight w:val="524"/>
        </w:trPr>
        <w:tc>
          <w:tcPr>
            <w:tcW w:w="1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Рентабелдүүлүктүн көрсөткүчтөрү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Активдердин рентабелдүү</w:t>
            </w:r>
            <w:r w:rsid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proofErr w:type="spellStart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лүгү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Таза пайда/жыйын</w:t>
            </w:r>
            <w:r w:rsidR="009769A3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ды активдер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8F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Коэффициент активдердин ар бир сомуна </w:t>
            </w:r>
            <w:r w:rsidR="008F1EAB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канча сом </w:t>
            </w:r>
            <w:r w:rsidR="007F03A4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таза пайда </w:t>
            </w:r>
            <w:proofErr w:type="spellStart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алынгандыгын</w:t>
            </w:r>
            <w:proofErr w:type="spellEnd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көрсөтөт. Эгерде активдердин рентабелдүүлүгү узак мөөнөттүү кредиттер үчүн </w:t>
            </w:r>
            <w:proofErr w:type="spellStart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пайыздык</w:t>
            </w:r>
            <w:proofErr w:type="spellEnd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ставкадан азыраак болсо, анда ишкананы </w:t>
            </w:r>
            <w:r w:rsidR="00B902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ийгиликтүү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де</w:t>
            </w:r>
            <w:r w:rsidR="00B902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 эсептөөгө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болбойт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 </w:t>
            </w:r>
            <w:r w:rsidR="009769A3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&gt;0,001</w:t>
            </w:r>
          </w:p>
        </w:tc>
      </w:tr>
      <w:tr w:rsidR="009769A3" w:rsidRPr="007F03A4" w:rsidTr="00D75C23">
        <w:tc>
          <w:tcPr>
            <w:tcW w:w="1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A5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Сатуулардын</w:t>
            </w:r>
            <w:proofErr w:type="spellEnd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рентабелдүү</w:t>
            </w:r>
            <w:r w:rsidR="00A5170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proofErr w:type="spellStart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лүгү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Таза пайда/түшкөн акча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8F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Коэффициент саты</w:t>
            </w:r>
            <w:r w:rsidR="00A5170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лган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продукциянын ар бир сомуна ишкана алган таза кирешенин чо</w:t>
            </w:r>
            <w:r w:rsidR="008F1EA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ң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дугун көрсөтөт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769A3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&gt;0,1</w:t>
            </w:r>
          </w:p>
        </w:tc>
      </w:tr>
      <w:tr w:rsidR="009769A3" w:rsidRPr="007F03A4" w:rsidTr="00D75C23">
        <w:tc>
          <w:tcPr>
            <w:tcW w:w="1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A5170F" w:rsidP="00A5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Жеке </w:t>
            </w:r>
            <w:r w:rsidR="00D05E95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капиталдын рентабелдүү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-</w:t>
            </w:r>
            <w:proofErr w:type="spellStart"/>
            <w:r w:rsidR="00D05E95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лүгү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A5170F" w:rsidP="00A5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Таза пайда/жеке </w:t>
            </w:r>
            <w:r w:rsidR="00D05E95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капитал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2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Коэффициент </w:t>
            </w:r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жеке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капиталдын канчалык натыйжалуу </w:t>
            </w:r>
            <w:proofErr w:type="spellStart"/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пайдаланылганын</w:t>
            </w:r>
            <w:proofErr w:type="spellEnd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көрсөт</w:t>
            </w:r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 жана </w:t>
            </w:r>
            <w:proofErr w:type="spellStart"/>
            <w:r w:rsidR="00D23E42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акционерлер</w:t>
            </w:r>
            <w:proofErr w:type="spellEnd"/>
            <w:r w:rsidR="00D23E42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үчүн </w:t>
            </w:r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өзгөчө</w:t>
            </w:r>
            <w:r w:rsidR="00D23E42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маанилүү</w:t>
            </w:r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, анткени </w:t>
            </w:r>
            <w:proofErr w:type="spellStart"/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фонддук</w:t>
            </w:r>
            <w:proofErr w:type="spellEnd"/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биржада </w:t>
            </w: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акциялардын </w:t>
            </w:r>
            <w:proofErr w:type="spellStart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котировкасына</w:t>
            </w:r>
            <w:proofErr w:type="spellEnd"/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таасир </w:t>
            </w:r>
            <w:proofErr w:type="spellStart"/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көрсөтүшү</w:t>
            </w:r>
            <w:proofErr w:type="spellEnd"/>
            <w:r w:rsidR="00D23E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мүмкүн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95" w:rsidRPr="007F03A4" w:rsidRDefault="00D05E95" w:rsidP="00D0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769A3" w:rsidRPr="007F03A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&gt;0,1</w:t>
            </w:r>
          </w:p>
        </w:tc>
      </w:tr>
    </w:tbl>
    <w:p w:rsidR="00D05E95" w:rsidRPr="00D05E95" w:rsidRDefault="00D05E95" w:rsidP="00D0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ED7" w:rsidRPr="00D05E95" w:rsidRDefault="009769A3" w:rsidP="009769A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69A3">
        <w:rPr>
          <w:rFonts w:ascii="Times New Roman" w:hAnsi="Times New Roman" w:cs="Times New Roman"/>
          <w:sz w:val="28"/>
          <w:szCs w:val="28"/>
        </w:rPr>
        <w:t>Финансы</w:t>
      </w:r>
      <w:r w:rsidR="00BD00EF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Pr="009769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кредиттик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уюмдардын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финансылык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абалын</w:t>
      </w:r>
      <w:proofErr w:type="spellEnd"/>
      <w:r w:rsidR="008F1EA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ишинин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натыйжалуулугун</w:t>
      </w:r>
      <w:proofErr w:type="spellEnd"/>
      <w:r w:rsidR="008F1EA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талдоо</w:t>
      </w:r>
      <w:proofErr w:type="spellEnd"/>
      <w:r w:rsidR="008F1EAB">
        <w:rPr>
          <w:rFonts w:ascii="Times New Roman" w:hAnsi="Times New Roman" w:cs="Times New Roman"/>
          <w:sz w:val="28"/>
          <w:szCs w:val="28"/>
          <w:lang w:val="ky-KG"/>
        </w:rPr>
        <w:t xml:space="preserve"> жүргүзүүгө</w:t>
      </w:r>
      <w:r w:rsidRPr="009769A3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коэффициенттер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банкы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бекитилген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ченемдик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укуктук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актылардын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ченемдерине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A3">
        <w:rPr>
          <w:rFonts w:ascii="Times New Roman" w:hAnsi="Times New Roman" w:cs="Times New Roman"/>
          <w:sz w:val="28"/>
          <w:szCs w:val="28"/>
        </w:rPr>
        <w:t>колдонулат</w:t>
      </w:r>
      <w:proofErr w:type="spellEnd"/>
      <w:r w:rsidRPr="009769A3">
        <w:rPr>
          <w:rFonts w:ascii="Times New Roman" w:hAnsi="Times New Roman" w:cs="Times New Roman"/>
          <w:sz w:val="28"/>
          <w:szCs w:val="28"/>
        </w:rPr>
        <w:t>.</w:t>
      </w:r>
    </w:p>
    <w:sectPr w:rsidR="00BD5ED7" w:rsidRPr="00D05E95" w:rsidSect="00B47842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63" w:rsidRDefault="00503463" w:rsidP="009769A3">
      <w:pPr>
        <w:spacing w:after="0" w:line="240" w:lineRule="auto"/>
      </w:pPr>
      <w:r>
        <w:separator/>
      </w:r>
    </w:p>
  </w:endnote>
  <w:endnote w:type="continuationSeparator" w:id="0">
    <w:p w:rsidR="00503463" w:rsidRDefault="00503463" w:rsidP="0097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4434"/>
      <w:docPartObj>
        <w:docPartGallery w:val="Page Numbers (Bottom of Page)"/>
        <w:docPartUnique/>
      </w:docPartObj>
    </w:sdtPr>
    <w:sdtEndPr/>
    <w:sdtContent>
      <w:p w:rsidR="009769A3" w:rsidRDefault="00B47842" w:rsidP="00477549">
        <w:pPr>
          <w:pStyle w:val="a5"/>
          <w:jc w:val="right"/>
        </w:pPr>
        <w:r w:rsidRPr="004775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75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75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4A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775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63" w:rsidRDefault="00503463" w:rsidP="009769A3">
      <w:pPr>
        <w:spacing w:after="0" w:line="240" w:lineRule="auto"/>
      </w:pPr>
      <w:r>
        <w:separator/>
      </w:r>
    </w:p>
  </w:footnote>
  <w:footnote w:type="continuationSeparator" w:id="0">
    <w:p w:rsidR="00503463" w:rsidRDefault="00503463" w:rsidP="00976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89"/>
    <w:rsid w:val="00014A3C"/>
    <w:rsid w:val="000525EF"/>
    <w:rsid w:val="000766A8"/>
    <w:rsid w:val="000A4C23"/>
    <w:rsid w:val="00111B92"/>
    <w:rsid w:val="001B099D"/>
    <w:rsid w:val="001C3B7E"/>
    <w:rsid w:val="001F5FC5"/>
    <w:rsid w:val="002A4FBA"/>
    <w:rsid w:val="002C1EC8"/>
    <w:rsid w:val="002C2859"/>
    <w:rsid w:val="002C307B"/>
    <w:rsid w:val="00303481"/>
    <w:rsid w:val="003C3B06"/>
    <w:rsid w:val="003F5130"/>
    <w:rsid w:val="00424319"/>
    <w:rsid w:val="0047267B"/>
    <w:rsid w:val="00477549"/>
    <w:rsid w:val="004909AF"/>
    <w:rsid w:val="004D5820"/>
    <w:rsid w:val="005029F7"/>
    <w:rsid w:val="00503463"/>
    <w:rsid w:val="005173A0"/>
    <w:rsid w:val="00535721"/>
    <w:rsid w:val="005562C4"/>
    <w:rsid w:val="00587819"/>
    <w:rsid w:val="005C3DA3"/>
    <w:rsid w:val="006440C0"/>
    <w:rsid w:val="00666738"/>
    <w:rsid w:val="006D7FDC"/>
    <w:rsid w:val="006E0BFD"/>
    <w:rsid w:val="00710134"/>
    <w:rsid w:val="00731F7E"/>
    <w:rsid w:val="00796E8F"/>
    <w:rsid w:val="007D515F"/>
    <w:rsid w:val="007F03A4"/>
    <w:rsid w:val="00827951"/>
    <w:rsid w:val="008F1EAB"/>
    <w:rsid w:val="009769A3"/>
    <w:rsid w:val="009821DA"/>
    <w:rsid w:val="009F0993"/>
    <w:rsid w:val="00A129FB"/>
    <w:rsid w:val="00A5170F"/>
    <w:rsid w:val="00AD1BE1"/>
    <w:rsid w:val="00B2663A"/>
    <w:rsid w:val="00B47842"/>
    <w:rsid w:val="00B604A9"/>
    <w:rsid w:val="00B9029B"/>
    <w:rsid w:val="00BD00EF"/>
    <w:rsid w:val="00BD5ED7"/>
    <w:rsid w:val="00C00401"/>
    <w:rsid w:val="00C64AF6"/>
    <w:rsid w:val="00CA3E78"/>
    <w:rsid w:val="00D05E95"/>
    <w:rsid w:val="00D23E42"/>
    <w:rsid w:val="00D75C23"/>
    <w:rsid w:val="00D876F2"/>
    <w:rsid w:val="00E00237"/>
    <w:rsid w:val="00E65316"/>
    <w:rsid w:val="00E82B63"/>
    <w:rsid w:val="00EE7125"/>
    <w:rsid w:val="00EF7DC3"/>
    <w:rsid w:val="00F4618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B75D0-30D6-497F-8609-B44F47A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D05E95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D05E9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D05E95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05E95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05E9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05E95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9A3"/>
  </w:style>
  <w:style w:type="paragraph" w:styleId="a5">
    <w:name w:val="footer"/>
    <w:basedOn w:val="a"/>
    <w:link w:val="a6"/>
    <w:uiPriority w:val="99"/>
    <w:unhideWhenUsed/>
    <w:rsid w:val="0097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9A3"/>
  </w:style>
  <w:style w:type="paragraph" w:styleId="a7">
    <w:name w:val="Balloon Text"/>
    <w:basedOn w:val="a"/>
    <w:link w:val="a8"/>
    <w:uiPriority w:val="99"/>
    <w:semiHidden/>
    <w:unhideWhenUsed/>
    <w:rsid w:val="0058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3</cp:revision>
  <cp:lastPrinted>2022-07-18T12:29:00Z</cp:lastPrinted>
  <dcterms:created xsi:type="dcterms:W3CDTF">2022-07-18T08:39:00Z</dcterms:created>
  <dcterms:modified xsi:type="dcterms:W3CDTF">2022-07-18T12:43:00Z</dcterms:modified>
</cp:coreProperties>
</file>