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8"/>
        <w:tblpPr w:leftFromText="180" w:rightFromText="180" w:vertAnchor="text" w:horzAnchor="margin" w:tblpXSpec="right" w:tblpY="-1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0"/>
      </w:tblGrid>
      <w:tr w:rsidR="00334ACF" w:rsidRPr="00CE5854" w:rsidTr="00ED3E3F">
        <w:trPr>
          <w:trHeight w:val="1380"/>
        </w:trPr>
        <w:tc>
          <w:tcPr>
            <w:tcW w:w="5340" w:type="dxa"/>
          </w:tcPr>
          <w:p w:rsidR="00334ACF" w:rsidRPr="00CE5854" w:rsidRDefault="00334ACF" w:rsidP="00334ACF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202</w:t>
            </w:r>
            <w:r>
              <w:rPr>
                <w:rFonts w:eastAsia="Calibri" w:cs="Times New Roman"/>
                <w:szCs w:val="28"/>
                <w:lang w:val="ky-KG"/>
              </w:rPr>
              <w:t>3</w:t>
            </w:r>
            <w:r w:rsidRPr="00CE5854">
              <w:rPr>
                <w:rFonts w:eastAsia="Calibri" w:cs="Times New Roman"/>
                <w:szCs w:val="28"/>
                <w:lang w:val="ky-KG"/>
              </w:rPr>
              <w:t>-202</w:t>
            </w:r>
            <w:r>
              <w:rPr>
                <w:rFonts w:eastAsia="Calibri" w:cs="Times New Roman"/>
                <w:szCs w:val="28"/>
                <w:lang w:val="ky-KG"/>
              </w:rPr>
              <w:t>7</w:t>
            </w:r>
            <w:r w:rsidRPr="00CE5854">
              <w:rPr>
                <w:rFonts w:eastAsia="Calibri" w:cs="Times New Roman"/>
                <w:szCs w:val="28"/>
                <w:lang w:val="ky-KG"/>
              </w:rPr>
              <w:t xml:space="preserve">-жылдарга </w:t>
            </w:r>
          </w:p>
          <w:p w:rsidR="00334ACF" w:rsidRPr="00CE5854" w:rsidRDefault="00334ACF" w:rsidP="00334ACF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Кыргыз Республикасын социалдык-экономикалык өнүктүрүүнүн болжолуна</w:t>
            </w:r>
          </w:p>
          <w:p w:rsidR="00334ACF" w:rsidRPr="00CE5854" w:rsidRDefault="00334ACF" w:rsidP="00334ACF">
            <w:pPr>
              <w:spacing w:after="0" w:line="240" w:lineRule="auto"/>
              <w:ind w:right="110"/>
              <w:jc w:val="both"/>
              <w:rPr>
                <w:rFonts w:eastAsia="Calibri" w:cs="Times New Roman"/>
                <w:b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3-тиркеме</w:t>
            </w:r>
          </w:p>
        </w:tc>
      </w:tr>
    </w:tbl>
    <w:p w:rsidR="00334ACF" w:rsidRPr="00CE5854" w:rsidRDefault="00334ACF" w:rsidP="00334ACF">
      <w:pPr>
        <w:keepNext/>
        <w:spacing w:after="0" w:line="240" w:lineRule="auto"/>
        <w:ind w:firstLine="9072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bookmarkStart w:id="0" w:name="_GoBack"/>
      <w:bookmarkEnd w:id="0"/>
    </w:p>
    <w:p w:rsidR="00334ACF" w:rsidRPr="00CE5854" w:rsidRDefault="00334ACF" w:rsidP="00334AC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3</w:t>
      </w: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-202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7</w:t>
      </w:r>
      <w:r w:rsidRPr="00CE5854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 xml:space="preserve">-жылдарга Кыргыз Республикасынын </w:t>
      </w:r>
      <w:r w:rsidRPr="00CE5854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ИДПны түзүүчү тармактарындагы </w:t>
      </w:r>
    </w:p>
    <w:p w:rsidR="00334ACF" w:rsidRPr="00CE5854" w:rsidRDefault="00334ACF" w:rsidP="00334AC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дүң продукция жана өсүү темптери </w:t>
      </w:r>
    </w:p>
    <w:p w:rsidR="00334ACF" w:rsidRPr="00CE5854" w:rsidRDefault="00334ACF" w:rsidP="00334AC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tbl>
      <w:tblPr>
        <w:tblW w:w="13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1418"/>
        <w:gridCol w:w="1417"/>
        <w:gridCol w:w="1276"/>
        <w:gridCol w:w="1276"/>
        <w:gridCol w:w="1276"/>
        <w:gridCol w:w="1275"/>
        <w:gridCol w:w="1413"/>
      </w:tblGrid>
      <w:tr w:rsidR="00334ACF" w:rsidRPr="00334ACF" w:rsidTr="00334ACF">
        <w:trPr>
          <w:trHeight w:val="259"/>
          <w:tblHeader/>
          <w:jc w:val="center"/>
        </w:trPr>
        <w:tc>
          <w:tcPr>
            <w:tcW w:w="3969" w:type="dxa"/>
            <w:vMerge w:val="restart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Аталышы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2021-жыл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2022-жыл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2023-жыл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2024-жыл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2025-жыл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2026-жыл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2027-жыл</w:t>
            </w:r>
          </w:p>
        </w:tc>
      </w:tr>
      <w:tr w:rsidR="00334ACF" w:rsidRPr="00334ACF" w:rsidTr="00334ACF">
        <w:trPr>
          <w:trHeight w:val="259"/>
          <w:tblHeader/>
          <w:jc w:val="center"/>
        </w:trPr>
        <w:tc>
          <w:tcPr>
            <w:tcW w:w="3969" w:type="dxa"/>
            <w:vMerge/>
            <w:vAlign w:val="center"/>
          </w:tcPr>
          <w:p w:rsidR="00334ACF" w:rsidRPr="00334ACF" w:rsidRDefault="00334ACF" w:rsidP="00334AC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иш жүзүндө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y-KG"/>
              </w:rPr>
              <w:t>Айыл чарба, токой чарбасы жана балык уулоочулук,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млн сом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324 283,1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366 612,8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393 485,3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425 205,8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465 991,8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506 841,4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545 609,8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136,8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106,1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Өнөр жай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ky-KG"/>
              </w:rPr>
              <w:footnoteReference w:id="1"/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357 569,4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399 710,7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445 217,2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483 700,8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524 361,8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545 800,9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504 309,0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87,7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107,1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Өнөр жай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ky-KG"/>
              </w:rPr>
              <w:footnoteReference w:id="2"/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357176,5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398609,3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443882,0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481329,4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520469,7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539533,7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494906,4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мурдагы жылга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109,0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87,1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ind w:firstLineChars="132" w:firstLine="317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Пайдалуу </w:t>
            </w:r>
            <w:r w:rsidRPr="00334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y-KG"/>
              </w:rPr>
              <w:t>кендерди казуу, млн сом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32 798,5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36 318,5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40 751,6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44 657,0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48 698,0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51 798,1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58 832,2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lastRenderedPageBreak/>
              <w:t>Физикалык көлөмдүн индекси, мурдагы жылга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150,3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Иштетүү өндүрүшү,</w:t>
            </w:r>
            <w:r w:rsidRPr="00334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278 764,8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314 133,0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351 416,5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381 378,3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411 826,9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424 313,2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367 701,1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мурдагы жылга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82,6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Электр энергиясы, газ, буу жана кондицияланган аба менен камсыздоо (жабдуу), млн сом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41 516,9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43 794,2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47 085,6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50 325,6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54 581,5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57 752,4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62 254,4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мурдагы жылга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Cуу менен камсыздоо, тазалоо, калдыктарды иштетүү жана кайра пайдалануучу чийки затты алуу, млн сом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4 096,2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4 363,6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4 628,3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4 968,4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5 363,4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5 670,0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6 118,7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мурдагы жылга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128,3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Маалым кат: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perscript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y-KG"/>
              </w:rPr>
              <w:t>Өнөр жай, Кумтөр кенин иштетүү боюнча ишканаларды эсепке албастан, млн сом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197 696,5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217 248,7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240 172,4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263 206,8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298 253,6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320 508,2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357 167,2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Физикалык көлөмдүн индекси, мурдагы жылга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112,2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lastRenderedPageBreak/>
              <w:t>Баалардын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Курулуш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146 964,1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165 037,0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187 751,4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211 772,9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235 479,1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266 273,7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300 620,1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106,1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  <w:t>Кызматтарды көрсөтүү чөйрөсү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, млн сом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539 153,7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624 336,2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712 868,1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791 796,0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880 099,4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984 358,2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ind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1 100 713,8</w:t>
            </w:r>
          </w:p>
        </w:tc>
      </w:tr>
      <w:tr w:rsidR="00334ACF" w:rsidRPr="00334ACF" w:rsidTr="00334ACF">
        <w:trPr>
          <w:trHeight w:val="108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112,1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Дүң жана чекене соода; автомобилдерди жана мотоциклдерди оңдоо, млн сом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199 847,8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247 373,9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303 392,1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349 971,7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402 552,1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466 836,4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539 423,7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111,4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115,6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Транспорттук иш жана жүктөрдү сактоо, млн сом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49 696,1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56 939,8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66 107,3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74 628,6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84 600,8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95 675,0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108 288,8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118,0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Мейманканалар жана ресторандар, млн сом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21 079,1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25 922,2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30 403,7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34 032,7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37 694,6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41 946,5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46 678,1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lastRenderedPageBreak/>
              <w:t>Реалдуу өсүү темпи, мурдагы жылга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114,3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Маалымат жана байланыш, млн сом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32 163,6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33 297,4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34 914,3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36 752,2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38 761,8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40 881,3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43 116,7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</w:tr>
      <w:tr w:rsidR="00334ACF" w:rsidRPr="00334ACF" w:rsidTr="00334ACF">
        <w:trPr>
          <w:trHeight w:val="259"/>
          <w:jc w:val="center"/>
        </w:trPr>
        <w:tc>
          <w:tcPr>
            <w:tcW w:w="3969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Баалардын индекси, мурдагы жыл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  <w:r w:rsidRPr="00334AC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карата % менен</w:t>
            </w:r>
          </w:p>
        </w:tc>
        <w:tc>
          <w:tcPr>
            <w:tcW w:w="1418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417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noWrap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13" w:type="dxa"/>
            <w:vAlign w:val="center"/>
          </w:tcPr>
          <w:p w:rsidR="00334ACF" w:rsidRPr="00334ACF" w:rsidRDefault="00334ACF" w:rsidP="00334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ACF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</w:tbl>
    <w:p w:rsidR="00334ACF" w:rsidRPr="00CE5854" w:rsidRDefault="00334ACF" w:rsidP="00334ACF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sz w:val="28"/>
          <w:szCs w:val="28"/>
          <w:lang w:val="ky-KG"/>
        </w:rPr>
        <w:br w:type="page"/>
      </w:r>
    </w:p>
    <w:p w:rsidR="002E60B9" w:rsidRDefault="002E60B9"/>
    <w:sectPr w:rsidR="002E60B9" w:rsidSect="00334ACF">
      <w:footerReference w:type="default" r:id="rId6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39C" w:rsidRDefault="009B539C" w:rsidP="00334ACF">
      <w:pPr>
        <w:spacing w:after="0" w:line="240" w:lineRule="auto"/>
      </w:pPr>
      <w:r>
        <w:separator/>
      </w:r>
    </w:p>
  </w:endnote>
  <w:endnote w:type="continuationSeparator" w:id="0">
    <w:p w:rsidR="009B539C" w:rsidRDefault="009B539C" w:rsidP="0033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2169625"/>
      <w:docPartObj>
        <w:docPartGallery w:val="Page Numbers (Bottom of Page)"/>
        <w:docPartUnique/>
      </w:docPartObj>
    </w:sdtPr>
    <w:sdtContent>
      <w:p w:rsidR="00334ACF" w:rsidRDefault="00334ACF">
        <w:pPr>
          <w:pStyle w:val="a9"/>
          <w:jc w:val="right"/>
        </w:pPr>
        <w:r w:rsidRPr="00334A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34A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34A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34A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34ACF" w:rsidRDefault="00334AC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39C" w:rsidRDefault="009B539C" w:rsidP="00334ACF">
      <w:pPr>
        <w:spacing w:after="0" w:line="240" w:lineRule="auto"/>
      </w:pPr>
      <w:r>
        <w:separator/>
      </w:r>
    </w:p>
  </w:footnote>
  <w:footnote w:type="continuationSeparator" w:id="0">
    <w:p w:rsidR="009B539C" w:rsidRDefault="009B539C" w:rsidP="00334ACF">
      <w:pPr>
        <w:spacing w:after="0" w:line="240" w:lineRule="auto"/>
      </w:pPr>
      <w:r>
        <w:continuationSeparator/>
      </w:r>
    </w:p>
  </w:footnote>
  <w:footnote w:id="1">
    <w:p w:rsidR="00334ACF" w:rsidRPr="00672D16" w:rsidRDefault="00334ACF" w:rsidP="00334ACF">
      <w:pPr>
        <w:pStyle w:val="a3"/>
        <w:contextualSpacing/>
        <w:rPr>
          <w:lang w:val="ky-KG"/>
        </w:rPr>
      </w:pPr>
      <w:r w:rsidRPr="00672D16">
        <w:rPr>
          <w:rStyle w:val="a5"/>
          <w:rFonts w:ascii="Times New Roman" w:eastAsia="MS Mincho" w:hAnsi="Times New Roman"/>
        </w:rPr>
        <w:footnoteRef/>
      </w:r>
      <w:r w:rsidRPr="00672D16">
        <w:rPr>
          <w:rFonts w:ascii="Times New Roman" w:hAnsi="Times New Roman"/>
          <w:lang w:val="ky-KG"/>
        </w:rPr>
        <w:t>Сатып алынуучу электр энергиясын эсепке албаганда иштетип алма чийки затты кайра иштетүүнүн наркын эске алуу менен.</w:t>
      </w:r>
    </w:p>
  </w:footnote>
  <w:footnote w:id="2">
    <w:p w:rsidR="00334ACF" w:rsidRPr="008879C4" w:rsidRDefault="00334ACF" w:rsidP="00334ACF">
      <w:pPr>
        <w:pStyle w:val="a3"/>
        <w:contextualSpacing/>
        <w:rPr>
          <w:lang w:val="ky-KG"/>
        </w:rPr>
      </w:pPr>
      <w:r w:rsidRPr="00672D16">
        <w:rPr>
          <w:rStyle w:val="a5"/>
          <w:rFonts w:ascii="Times New Roman" w:eastAsia="MS Mincho" w:hAnsi="Times New Roman"/>
        </w:rPr>
        <w:footnoteRef/>
      </w:r>
      <w:r w:rsidRPr="00672D16">
        <w:rPr>
          <w:rFonts w:ascii="Times New Roman" w:hAnsi="Times New Roman"/>
          <w:lang w:val="ky-KG"/>
        </w:rPr>
        <w:t>Иштетип алма чийки затты  кайра иштетүүнүн наркын эске албастан, бирок сатып алынуучу электр энергиясын эсепке алуу менен.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ACF"/>
    <w:rsid w:val="002E60B9"/>
    <w:rsid w:val="00334ACF"/>
    <w:rsid w:val="009B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5AB55-CC6C-409D-A650-46DA11EAB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A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ootnote,12pt,single space,FOOTNOTES,fn,footnote text,12pt Знак Знак Знак Знак Знак,12pt Знак Знак Знак Знак,ft,ADB,WB-Fußnotentext,Fußnote,Geneva 9,Font: Geneva 9,Boston 10,f,12pt Знак Знак Знак Знак Знак1,12,12 Знак Знак,12 Знак,5,FuЯnot"/>
    <w:basedOn w:val="a"/>
    <w:link w:val="a4"/>
    <w:uiPriority w:val="99"/>
    <w:unhideWhenUsed/>
    <w:rsid w:val="00334AC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Footnote Знак,12pt Знак,single space Знак,FOOTNOTES Знак,fn Знак,footnote text Знак,12pt Знак Знак Знак Знак Знак Знак,12pt Знак Знак Знак Знак Знак2,ft Знак,ADB Знак,WB-Fußnotentext Знак,Fußnote Знак,Geneva 9 Знак,Font: Geneva 9 Знак"/>
    <w:basedOn w:val="a0"/>
    <w:link w:val="a3"/>
    <w:uiPriority w:val="99"/>
    <w:rsid w:val="00334ACF"/>
    <w:rPr>
      <w:sz w:val="20"/>
      <w:szCs w:val="20"/>
    </w:rPr>
  </w:style>
  <w:style w:type="character" w:styleId="a5">
    <w:name w:val="footnote reference"/>
    <w:aliases w:val="16 Point,Superscript 6 Point,Знак сноски 1,Знак сноски-FN,Ciae niinee-FN,Referencia nota al pie,ftref,BVI fnr,BVI fnr Car Car,BVI fnr Car,BVI fnr Car Car Car Car,Footnote text, BVI fnr, BVI fnr Car Car, BVI fnr Car Car Car Car,fr,Ciae niinee"/>
    <w:basedOn w:val="a0"/>
    <w:uiPriority w:val="99"/>
    <w:unhideWhenUsed/>
    <w:rsid w:val="00334ACF"/>
    <w:rPr>
      <w:vertAlign w:val="superscript"/>
    </w:rPr>
  </w:style>
  <w:style w:type="table" w:customStyle="1" w:styleId="8">
    <w:name w:val="Сетка таблицы8"/>
    <w:basedOn w:val="a1"/>
    <w:next w:val="a6"/>
    <w:uiPriority w:val="59"/>
    <w:rsid w:val="00334AC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334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34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4ACF"/>
  </w:style>
  <w:style w:type="paragraph" w:styleId="a9">
    <w:name w:val="footer"/>
    <w:basedOn w:val="a"/>
    <w:link w:val="aa"/>
    <w:uiPriority w:val="99"/>
    <w:unhideWhenUsed/>
    <w:rsid w:val="00334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4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688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2022-08-29T09:20:00Z</dcterms:created>
  <dcterms:modified xsi:type="dcterms:W3CDTF">2022-08-29T09:22:00Z</dcterms:modified>
</cp:coreProperties>
</file>