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2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Проект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оборота гражданских пиротехнических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Кыргызской Республики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Настоящие Правила устанавливают порядок оборота гражданских пиротехнических изделий, предусматривающий их реализацию, хранение, учет, использование, перевозку, уничтожение, ввоз и вывоз пиротехнических изделий.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Настоящие Правила не распространяются на промышленные пиротехнические изделия.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Классификация пиротехнических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К гражданским пиротехническим изделиям относятся пиротехнические смеси, изделия на их основе, предназначенные для производства в технических или бытовых целях эффектов в виде тепла, света, огня, звука, дыма, газа или их комбинаций.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Пиротехнические изделия по степени потенциальной опасности  при применении подразделяются на 5 классов: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 класс - изделия, у которых в числе опасных факторов отсутствуют ударные волны и разлетающиеся при взрыве осколки, кинетическая энергия движения не более 0,5 Дж, акустическое излучение на расстоянии 0,25 м от изделия не более 125 ДцБ, а радиус опасной зоны по остальным факторам не превышает 0,5 м (бенгальские свечи,  хлопушки,  фонтаны настольные, вертушки, бабочки);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 класс - изделия, у которых в числе опасных факторов отсутствуют ударные волны и разлетающиеся при взрыве осколки, кинетическая энергия движения не более 5 Дж,  акустическое излучение на расстоянии 2,5 м  от изделия  не более 140 ДцБ,  а радиус опасной зоны по остальным факторам не превышает 5 м (летающие фейерверки,  дымовые фейерверочные  изделия, мини-салюты, фонтаны концертные);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 класс - изделия,  у которых в числе опасных факторов отсутствуют ударные волны и разлетающиеся при взрыве осколки,  кинетическая энергия движения не более 20 Дж,  акустическое излучение на расстоянии 5  м  от изделия  не более 140 ДцБ,  а радиус опасной зоны по остальным факторам не превышает 20 (мини-римские свечи,  петарды терочные, петарды фитильные и связки петард, наземные фейерверки, мини-ракеты);     4 класс - изделия,  у которых в числе опасных факторов отсутствуют ударные волны и разлетающиеся при взрыве осколки, а радиус опасной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зоны по остальным факторам не превышает 20 м  (гражданские  профессиональные пиротехнические изделия.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 класс – прочие пиротехнические изделия, не вошедшие в 1-4 классы.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Пиротехнические изделия по  назначению  и  условиям  применения подразделяются на: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пиротехнические    изделия     бытового    назначения    1-3  классов  опасности, свободно продаваемые населению, обращение с которыми не требует специальные знаний и навыков;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пиротехнические  изделия технического и специального назначения   4 класса опасности,  обращение с которым требует специальных  знаний  и навыков  исполнителей  (пользователей) и (или) обеспечения определенных условий технического оснащения.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Требования к гражданским пиротехническим изделиям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Гражданские пиротехнические изделия должны быть  изготовлены  в соответствии  с требованиями национальных стандартов и технических регламентов.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 Маркировка на пиротехнических изделиях,  потребительской таре и транспортной таре должна обеспечивать проведение идентификации изделий. 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 пиротехнических  изделиях обязательно должны быть указаны изготовитель, дата изготовления и номер партии. Маркировка должна </w:t>
      </w: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единый знак обращения продукции на рынке государств – членов Таможенного союза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наноситься на государственном или официальном языке.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8. Гражданские  пиротехнические  изделия  бытового  назначения  не должны иметь класс опасности выше 3 класса. К каждому пиротехническому изделию в обязательном порядке должна быть приложена инструкция по применению, содержащая  выделенный шрифтом текст об опасности пиротехнических изделий и ограничения по их применению.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9. Импортные  гражданские пиротехнические изделия должны соответствовать действующим нормам Кыргызской Республики,  правилам  противопожарной и технической безопасности.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10. На импортные гражданские пиротехнические изделия инструкция по применению и сертификат соответствия страны, где изготовлены пиротехнические изделия, должны иметь перевод на государственном или официальном языках.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Реализация гражданских пиротехнических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11. Реализация  гражданских пиротехнических изделий осуществляется на основании лицензии, выдаваемой Министерством внутренних дел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Кыргызской Республики в соответствии с законодательством Кыргызской Республики о лицензировании.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12. Реализация  гражданских  пиротехнических  изделий  1-4 классов осуществляется строго через специализированные магазины.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13. Реализация гражданских пиротехнических изделий 1-3 класса осуществляется лицам, старше 16 лет.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Условия и порядок хранения и учета гражданских пиротехнических     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14. В торгующих организациях гражданские  пиротехнические  изделия бытового назначения 1-3 классов опасности, свободно продаваемые населению,  хранятся в специально оборудованном хранилище, которое должно отвечать следующим требованиям: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быть изолированным от других  подсобных,  служебных  помещений, иметь капитальные стены,  прочные потолочные перекрытия и пол. Внутренние стены (перегородки) должны быть эквивалентны по прочности спаренным гипсобетонным панелям толщиной 80 миллиметров (далее - мм) каждая;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иметь металлическую дверь,  которая должна  запираться  на  два внутренних замка и опечатываться или опломбироваться;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иметь на оконных проемах с  внутренней  стороны  помещения  или между  рамами  стальные  решетки.  Концы прутьев решеток заделываются в стену на глубину не менее 80 мм и заливаются бетоном.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Решетки, устанавливаемые в дверные,  оконные проемы и для усиления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 (перегородок),  выполняются из стального прута диаметром не  менее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15 мм. Прутья свариваются в каждом перекрестии, образуя ячейки не более 150x150 мм;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4) при наличии вентиляционных окон, люков на них должны устанавливаться стальные решетки с ячейками размером не более 100x100 мм, исключающие возможность проникновения через эти системы. Отверстия в стенах, предназначенные для прохождения инженерных сетей, должны иметь диаметр не более 200 мм;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5) в комнате для хранения изделий необходимо иметь противопожарные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6) от помещения для хранения изделий  должно  быть  два  комплекта ключей. Один комплект ключей постоянно находится у лица, ответственного за сохранность изделий,  второй в опечатанном пенале у  руководителя организации, на имя которого выдано разрешение на хранение.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допускается оставление ключей от помещения для  хранения  гражданских  пиротехнических изделий в столах и иных,  доступных для посторонних лиц, местах.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15. Склады  хранения гражданских пиротехнических изделий подразделяют,  в зависимости от их назначения на постоянные (базисные), расходные и передвижные склады: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базисные склады - предназначены для длительного хранения изделий;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расходные склады -  предназначены  для  удовлетворения  текущей потребности в изделиях;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передвижные склады - предназначены для кратковременного хранения изделий.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Допускается использование действующих складов взрывчатых материалов.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16. Хранение гражданских пиротехнических изделий на  складах различного назначения (постоянного и временного хранения,  расходные склады), в складских помещениях магазинов, на оптовых базах должно быть организовано,  в зависимости от класса опасности, в соответствии с правилами противопожарной безопасности и настоящими Правилами и должно обеспечивать  сохранность,  учет и возможность проверки наличия учитываемой продукции.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17. Нормы загрузки не должны превышать: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складов постоянного хранения - не более 200 тонн;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расходных складов - не более 60 тонн;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для складских помещений торговых организаций  (магазинов)  -  не более 2-х тонн.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Во всех случаях нормы загрузки должны быть согласованы с  органами внутренних дел и уполномоченными органами по пожарной профилактике и тушении пожаров.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18. Для проветривания хранилищ устанавливаются решетчатые металлические двери, закрывающиеся на замки, а на окнах и вентиляционных люках устанавливаются металлические решетки и сетки.  Размер ячеек решетчатых дверей  и решеток должны быть не более 150x150 мм,  толщина прутка – не менее 10 мм.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19. Все  склады  для постоянного и временного хранения гражданских пиротехнических изделий должны быть приняты комиссией из представителей организаций, кому принадлежат склады, органов внутренних дел, Министерства чрезвычайных ситуаций Кыргызской Республики и иметь надежную защиту от  несанкционированного проникновения.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Приемка складов комиссией оформляется актом,  где указаны местонахождение, тип и емкость склада в целом и каждого хранилища в отдельности,  а также соответствие построенного склада проекту. Каждое хранилище складов гражданских пиротехнических изделий должно иметь молниезащитное устройство.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20. Все  действующие  и  вновь  вводимые в эксплуатацию склады для постоянного и временного хранения гражданских  пиротехнических  изделий должны  быть зарегистрированы в территориальных органах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внутренних дел и  Министерства чрезвычайных ситуаций Кыргызской Республики  на основании акта их приемки.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21. В каждом хранилище разрешается хранить не более того количество гражданских пиротехнических изделий,  на которое имеется  разрешение на  хранение  гражданских  пиротехнических  изделий,  выданного органом внутренних дел.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каждый  постоянный  и  временный  склад должен иметься паспорт, один экземпляр которого хранится на складе.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22. Все  склады,  в  зависимости от вида изделий и нормы загрузки, должны располагаться на безопасном расстоянии.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Расстояние между  отдельными зданиями промежуточных складов не менее 100м без обвалования и 50 м - с обвалованием.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Расстояние между отдельными хранилищами базисного склада, не обнесенными валом, должны быть не менее 200 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Расходные склады  должны располагаться на безопасном расстоянии от жилых строений, площадки показа фейерверка и от массового скопления людей, но не ближе 100 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Склады постоянного хранения и расходные склады необходимо располагать на расстоянии не менее: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- 400 м - от шоссейных дорог не ниже районного назначения, границы полосы отвода железных дорог,  за исключением путей,  ведущих к складу,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 стоящих жилых строений;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- 1000 м - от границы полосы отвода станционных зданий,  складов и других станционных построек;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- 800  и 1000 м - от границы территории поселков и других населенных пунктов с численностью населения соответственно до  10000  и  свыше 10000 человек;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- 1500 м - от других производственных зданий и сооружений, не принадлежащим складам.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23. Территория постоянных и расходных складов должна быть ограждена колючей проволокой высотой не менее 2,5 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24. Все хранилища должны быть одноэтажными, из несгораемых материалов, неотапливаемыми.  Стены и потолки хранилищ должны быть побелены.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Полы в складах должны выполняться в соответствии с                                        требованиями пожарной  безопасности к устройству полов промышленных зданий из несгораемых материалов, исключающих искрообразование.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25. Хранилища,  в зависимости от их величины, должны иметь два выхода. Хранилища длиной менее 10 м могут иметь один выход.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Двери, ведущие в хранилища, должны открываться наружу. Стекла окон,  выходящих на солнечную сторону, должны быть застеклены матовыми или выкрашенными белой краской стеклами. 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Искусственное освещение должно быть наружное. Дежурное освещение в помещениях складов,  а также эксплуатация газовых плит, 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электронагревательных приборов и установка штепсельных розеток не допускается.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26. Электрооборудование складов по окончании его применения в ночное время суток должно обесточиваться.  Аппараты,  предназначенные  для отключения электропитания,  должны располагаться вне складского помещения,  на стене из несгораемых материалов или на отдельно стоящей опоре, монтироваться  в  шкафу или нише с приспособлениями для пломбирования и закрывания на замок.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27. При   хранении   в  одном хранилище нескольких типов гражданских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пиротехнических изделий   должны строго       соблюдаться     правила   совместного  хранения  в  соответствии  с  правилами пожарной безопасности и взрывобезопасности изделий.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Упаковки с изделиями  должны храниться в штабелях или на стеллажах.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Ящики с фейерверочными изделиями при хранении на штабелях и на  стеллажах должны укладываться партиями.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Деревянные ящики с изделиями для хранения в штабелях  должны  быть уложены  один на другой крышками вверх,  под нижними рядами следует делать настил из досок для обеспечения воздухообмена.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каждом штабеле и полке стеллажа должна быть табличка с указанием наименования или индекса изделий,  номера партии,  количества мест и даты поступления.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28. Складские помещения должны быть оборудованы ручными средствами пожаротушения  или автоматическими установками тушения пожара, а также обеспечены противопожарным водоснабжением  и телефонной (мобильной) связью для вызова МЧС КР. Номенклатура средств пожаротушения и их размещение должны согласовываться с уполномоченными  органами  по пожарной профилактике и тушение пожаров.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29. Прием и выдача  грузов из хранилищ  производится в светлое  время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суток.  При необходимости эти работы можно производить при наружном искусственном освещении.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30. Механизмы    для    погрузочно-разгрузочных  работ   в  хранилищах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(складах) пиротехнических изделий должны быть во взрывозащищенном исполнении, а двигатели внутреннего сгорания - должны иметь нейтрализаторы выхлопных газов и искрогасители.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 складе  необходимо  вести  журнал учета  продукции установленной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формы, который должен быть пронумерован, прошнурован и скреплен печатью органа внутренних дел.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Каждый вид продукции следует  учитывать отдельно.  Записи в журнале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производятся на основании приходно-расходных документов незамедлительно по получении или выдаче груза.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31. Хранилище и территория склада должны содержаться в чистоте; не допускается хранение ломаной тары,  посторонних и  горючих  материалов.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Проезды, подъезды к складским зданиям, пожарным водо-источникам, а также подступы к противопожарному инвентарю и оборудованию должны быть всегда свободными.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 допускается  использование безопасных  разрывов  между  складами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хранения каких-либо  материалов,  оборудования и других   предметов.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территорию склада для перевозки  изделий  допускается  только   тот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транспорт,  на который имеется удостоверение о допуске транспорта к перевозке изделий, выдаваемом органами внутренних дел.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Порядок использования гражданских пиротехнических изделий (демонстрация фейерверков)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32. Использование (демонстрацию) фейерверков на территории Кыргызской Республики осуществляют юридические и физические лица, имеющие лицензию, выданную Министерством внутренних дел Кыргызской Республики.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33. Юридическим и физическим лицам, осуществляющим демонстрацию фейерверков,  разрешается их применение в общественно-культурных местах только с разрешения местной администрации после утверждения  документации  на  право производства работ,  согласованной с органами внутренних дел и Министерства чрезвычайных ситуаций Кыргызской Республики.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согласование  представляются  техническая документация на гражданские пиротехнические изделия,  план-размещение,  специально оборудованный транспорт для перевозки изделий.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34. Для обеспечения безопасности работ следует также руководствоваться действующими стандартами и правилами противопожарной и технической безопасности, установленными соответствующими нормативными правовыми актами Кыргызской Республики.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35. Для получения разрешения на демонстрацию фейерверка при проведении культурно-зрелищных и массовых мероприятий организаторы обращаются с ходатайством в местный орган государственной администрации не менее чем  за  10 дней до мероприятия.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ходатайстве указываются следующие сведения: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наименование и адрес организации - устроителя мероприятия, фамилии,  имена,  отчества организаторов и их  уполномоченных, с  указанием должностей, адресов и контактных телефонов;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название и цель мероприятия;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дата,   место,  время   начала  и  окончания  мероприятия,  в том   числе демонстрации фейерверка;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сведения  о юридическом или физическом лице,  проводящем демонстрацию фейерверка,  с приложением лицензии на право занятия лицензируемым видам деятельности и разрешений на их хранение и перевозку;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- объем фейерверка, характер используемых изделий и порядок проведения;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сведения о  руководителе    фейерверка и персонале,   привлекаемых  к демонстрации фейерверка, и копии документов, подтверждающих их право на руководство и проведение фейерверка.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36. При   кратковременном  хранении  изделий,  на период подготовки и проведения фейерверка,  хранение осуществляется в  передвижных  складах (специально оборудованные автомобили, по согласованию с государственной автомобильной инспекцией органа внутренних дел Министерства чрезвычайных ситуаций КР)  на  безопасном  расстоянии от жилых,  общественных строений, от мест большого скопления людей. Склад должен находиться под охраной.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37. Устроители фейерверка обеспечивают безопасность показа фейерверка, меры защиты персонала и сохранность фейерверочных изделий и согласовывают охранные мероприятия с органами внутренних дел.  Охрана мест устройства фейерверков возлагается на органы внутренних дел и организацию, проводящую данное мероприятие.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38. Выбор и согласование места демонстрации фейерверка должен производиться с учетом радиусов опасных зон,  предполагаемых к  применению фейерверочных изделий,  рельефа местности, метеоусловий, характера прилегающих объектов,  надежности охраны опасной зоны и  других  факторов, влияющих на безопасность демонстрации.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Место для демонстрации  фейерверка  гражданскими  пиротехническими изделиями  4  класса опасности должно находиться на расстоянии не менее 500 м от сгораемых построек,  топливных складов,  полей с  созревающими зерновыми культурами или сеном, соломой, лесом, линий электропередачи в соответствии с утвержденной местной государственной администрацией схемой и на расстоянии не менее 50 м от несгораемых построек.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Место установки пусковых устройств необходимо выбирать таким образом,  чтобы зрители находились с наветренной стороны,  на расстоянии не менее 100 м от пусковой площадки.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39. К местам, запрещенным для демонстрации фейерверков, относятся: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территории, здания, строения, сооружения, не обеспечивающие безопасность граждан;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территории,   расположенные вблизи опасных и вредных производств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объектов, также транспортных узлов (мосты, путепроводы, полосы отвода автомобильных дорог,  полосы отчуждения железных дорог, нефтегазопроводов и линий высоковольтных электропередач, пожаро и взрывоопасных объектов и другие);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территории,  непосредственно  прилегающие  к  зданиям больниц и детских учреждений;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4) территории объектов, имеющих важное культурное значение, памятников истории и культуры, кладбищ и культовых сооружений, заповедников, заказников и национальных парков, мест паломничества.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40. Применяемые для демонстрации фейерверков гражданские пиротехнические  изделия и пусковое оборудование должны использоваться в строгом соответствии с прилагаемыми к ним инструкциями по эксплуатации. Ответственность   за  соблюдение инструкций по эксплуатации применяемых изделий несет организация, проводящая демонстрацию фейерверка.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41. На площадках,  с которых производят запуск фейерверка, категорически запрещается: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курить и разводить огонь;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работать в нетрезвом состоянии;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оставлять фейерверочные средства без охраны.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42. После  окончания  фейерверка пусковую площадку  тщательно осматривают демонстраторы с целью сбора несгоревших изделий и элементов.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43. Охрана территории пусковой площадки может   быть   снята   только после окончания всех работ с согласия руководителя фейерверка.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Охрану опасной зоны и противопожарные мероприятия прекращают только после окончания фейерверка.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перевозки гражданских пиротехнических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44. Перевозка гражданских пиротехнических изделий осуществляется в соответствии «Правилами перевозки опасных грузов автомобильным транспортом», утвержденных </w:t>
      </w:r>
      <w:hyperlink r:id="rId5" w:history="1">
        <w:r w:rsidRPr="00D903C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от 11 апреля 2016 года № 198».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45. Перевозка гражданских пиротехнических изделий воздушным транспортом осуществляется согласно Авиационных правил Кыргызской Республики АПКР-18 («Перевозка опасных грузов по воздуху») и согласно </w:t>
      </w:r>
      <w:r w:rsidRPr="00D903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-9284 ИКАО (Международная организация гражданской защиты) «Технические инструкции по безопасной перевозке опасных грузов по воздуху».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46. Перевозка гражданских пиротехнических изделий железнодорожным транспортом осуществляется согласно Правилам перевозок   опасных   грузов по железным дорогам,  утвержденным на 15 заседании Совета по железно-дорожному транспорту государств-участников СНГ от 5 апреля 1996 года.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47. При   перевозке  различными видами транспорта гражданских пиротехнических изделий обеспечивается их надежная охрана.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48. Привозимый груз должен быть уложен таким образом, чтобы исключалась возможность его падения,    трения,  ударов друг об друга и о борт транспорта при толчках и качке.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49. При перевозке   продукции,    подлежащей частной разгрузке в  пути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следования,   каждая  партия  должна  быть  укреплена  отдельно от других таким образом,  чтобы остающийся груз при дальнейшем следовании не  сдвигался со своих мест.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Порядок уничтожения и изъятия гражданских пиротехнических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50. Уничтожению подлежат гражданские пиротехнические изделия, непригодные для дальнейшего использования по следующим причинам: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неполное срабатывание пиротехнических изделий;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невоспламенение составов;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несрабатывание электровоспламенителей;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обрыв проводов электровоспламенителей;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 явно выраженными повреждениями оболочки  или  пиротехнического состава;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окончания гарантийного срока годности.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51. Уничтожением  гражданских пиротехнических изделий производиться Министерством чрезвычайных ситуаций в соответствии с требованиями настоящих Правил и инструкции по эксплуатации конкретного изделия, разработанного заводом-изготовителем.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51-1. Изъятием пиротехнических изделий не соответствующих требованиям настоящих Правил и инструкции по эксплуатации конкретного изделия, разработанного заводом-изготовителем,  производится </w:t>
      </w:r>
      <w:r w:rsidRPr="00D903C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уполномоченным государственным органом исполнительной власти, осуществляющим государственный надзор и контроль по вопросам экологической и технической безопасности</w:t>
      </w:r>
      <w:r w:rsidRPr="00D903C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соответствии с Кодексом Кыргызской Республики «О нарушениях»</w:t>
      </w:r>
      <w:r w:rsidRPr="00D903CC">
        <w:rPr>
          <w:rFonts w:ascii="Arial" w:eastAsia="Calibri" w:hAnsi="Arial" w:cs="Arial"/>
          <w:shd w:val="clear" w:color="auto" w:fill="FFFFFF"/>
          <w:lang w:val="ky-KG"/>
        </w:rPr>
        <w:t xml:space="preserve"> </w:t>
      </w:r>
      <w:r w:rsidRPr="00D903C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№ 58</w:t>
      </w:r>
      <w:r w:rsidRPr="00D903C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D903C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от 13 апреля 2017 года</w:t>
      </w:r>
      <w:r w:rsidRPr="00D903CC">
        <w:rPr>
          <w:rFonts w:ascii="Arial" w:eastAsia="Calibri" w:hAnsi="Arial" w:cs="Arial"/>
          <w:shd w:val="clear" w:color="auto" w:fill="FFFFFF"/>
          <w:lang w:val="ky-KG"/>
        </w:rPr>
        <w:t xml:space="preserve"> 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52. Уничтожение непригодных  гражданских  пиротехнических  изделий должно  проводиться сжиганием или растворением на специальной площадке, имеющей, по возможности, естественные преграды (овраги, балки и так далее), ограничивающие разлет горящих элементов пиротехнических изделий.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53. При уничтожении непригодных гражданских пиротехнических изделий  опасная  зона должна располагаться на расстоянии не менее 500 м от построек легковоспламеняющихся материалов  и линий электропередач.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54. Уничтожение  непригодных пиротехнических изделий должно проводиться комиссией в составе представителей органов внутренних дел и  уполномоченным органом по пожарной профилактике и тушении пожаров.  Запрещается нахождение на территории площадки посторонних лиц во время уничтожения пиротехнических изделий.  Персонал должен находиться на безопасном расстоянии или в укрытии.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55. Уничтожение  сжиганием осуществляется путем инициирования термитной шашки,  жестко соединенной с уничтожаемыми изделиями.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Подход  к месту  горения  изделий  разрешается  не ранее чем через 15 минут после полного затухания очага огня.  При неполном сгорании указанная операция повторяется.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9. Ввоз в Кыргызскую Республику и вывоз из Кыргызской Республики гражданских пиротехнических изделий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56. Ввоз в Кыргызскую Республику гражданских пиротехнических изделий осуществляется по разрешению,  выдаваемому Министерством внутренних дел Кыргызской Республики на основании следующих документов: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ходатайства руководителя юридического или физического лица,  где указывается  наименование  и  количество  (вес)  ввозимых или вывозимых гражданских пиротехнических изделий;  фамилия,  имя,  отчество, серия и номер паспорта лица,  ответственного за ввоз (вывоз);  государство,  из которого вывозятся или  куда  ввозятся  указанные  изделия;  таможенный пункт, через который осуществляется ввоз или вывоз;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акта на эксплуатацию склада (базисного, расходного) для хранения гражданских пиротехнических изделий,  выданного Государственной инспекцией по экологической и технической безопасности при Правительстве Кыргызской Республики;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лицензии на право занятия лицензируемым видом деятельности.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Вывоз из Кыргызской Республики гражданских пиротехнических изделий осуществляется  по  лицензии,  выдаваемой  Министерством экономического развития и торговли Кыргызской Республики в  соответствии  с  порядком, утвержденным  постановлением  Жогорку Кенеша Кыргызской Республики от 8 июня 1998 года № 1101-1 "Об утверждении перечней товаров, экспорт и импорт которых осуществляется по лицензиям".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57. Руководитель юридического или физического лица при ввозе (вывозе)  гражданских пиротехнических изделий предъявляет в таможенный орган, расположенный в пункте пропуска через государственную границу Кыргызской Республики,  следующие документы,  выданные Министерством внутренних дел Кыргызской Республики: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лицензию на право занятия лицензируемым видом деятельности;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разрешение на приобретение, хранение гражданских пиротехнических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разрешение  на  ввоз (вывоз) гражданских  пиротехнических   изделий,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количества (веса) ввозимого (вывозимого) изделия;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разрешение на перевозку пиротехнических изделий;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свидетельство о допуске транспортного средства к перевозке опасных грузов;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свидетельство о допуске водителя к перевозке опасного груза;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right" w:pos="90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схему маршрута перевозки опасного груза;</w:t>
      </w: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сертификат    соответствия   требованиям     безопасности,   выданным   в стране, где изготовлено пиротехническое изделие.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Контроль (надзор) за соблюдением настоящих Правил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58. Контроль соответствия пиротехнических изделий требованиям настоящих правил осуществляется в процессе обращения на стадии их реализации в форме анализа (проверки) документации и визуального осмотра образца пиротехнических изделий. 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59. При проведении государственного контроля (надзора) пиротехнических изделий представители органа государственного контроля осуществляют: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проверку целостности упаковки пиротехнических изделий;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проверку наличия маркировки пиротехнических изделий, указанной на изделии или потребительской таре;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проверку сроков годности пиротехнических изделий;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проверку достоверности документов о подтверждении соответствия требованиям  настоящих Правил.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61. При отсутствии документов о подтверждении соответствия орган государственного контроля (надзора) направляет соответствующий запрос в органы технического регулирования, ведущие реестр действующих сертификатов (деклараций о соответствии). При получении информации об отсутствии сертификации, декларации о соответствии или о подтверждении недействительности указанных материалов (истек срок действия, не прошли регистрацию и другое) материалы на их владельца передаются в компетентные органы для принятия соответствующего решения.</w:t>
      </w:r>
    </w:p>
    <w:p w:rsidR="00D903CC" w:rsidRPr="00D903CC" w:rsidRDefault="00D903CC" w:rsidP="00D903C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03CC" w:rsidRPr="00D903CC" w:rsidRDefault="00D903CC" w:rsidP="00D903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03CC" w:rsidRPr="00D903CC" w:rsidRDefault="00D903CC" w:rsidP="00D903CC">
      <w:pPr>
        <w:spacing w:after="160" w:line="259" w:lineRule="auto"/>
        <w:rPr>
          <w:rFonts w:ascii="Calibri" w:eastAsia="Calibri" w:hAnsi="Calibri" w:cs="Times New Roman"/>
        </w:rPr>
      </w:pPr>
    </w:p>
    <w:p w:rsidR="007D163D" w:rsidRDefault="007D163D">
      <w:bookmarkStart w:id="0" w:name="_GoBack"/>
      <w:bookmarkEnd w:id="0"/>
    </w:p>
    <w:sectPr w:rsidR="007D163D" w:rsidSect="007D4610">
      <w:footerReference w:type="default" r:id="rId6"/>
      <w:pgSz w:w="11906" w:h="16838"/>
      <w:pgMar w:top="1134" w:right="1134" w:bottom="1134" w:left="1701" w:header="703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B12" w:rsidRPr="000B3B12" w:rsidRDefault="00D903CC">
    <w:pPr>
      <w:pStyle w:val="a3"/>
      <w:jc w:val="right"/>
      <w:rPr>
        <w:sz w:val="20"/>
        <w:szCs w:val="20"/>
      </w:rPr>
    </w:pPr>
    <w:r w:rsidRPr="000B3B12">
      <w:rPr>
        <w:sz w:val="20"/>
        <w:szCs w:val="20"/>
      </w:rPr>
      <w:fldChar w:fldCharType="begin"/>
    </w:r>
    <w:r w:rsidRPr="000B3B12">
      <w:rPr>
        <w:sz w:val="20"/>
        <w:szCs w:val="20"/>
      </w:rPr>
      <w:instrText>PAGE   \* MERGEFORMAT</w:instrText>
    </w:r>
    <w:r w:rsidRPr="000B3B12">
      <w:rPr>
        <w:sz w:val="20"/>
        <w:szCs w:val="20"/>
      </w:rPr>
      <w:fldChar w:fldCharType="separate"/>
    </w:r>
    <w:r>
      <w:rPr>
        <w:noProof/>
        <w:sz w:val="20"/>
        <w:szCs w:val="20"/>
      </w:rPr>
      <w:t>11</w:t>
    </w:r>
    <w:r w:rsidRPr="000B3B12">
      <w:rPr>
        <w:sz w:val="20"/>
        <w:szCs w:val="20"/>
      </w:rPr>
      <w:fldChar w:fldCharType="end"/>
    </w:r>
  </w:p>
  <w:p w:rsidR="000B3B12" w:rsidRPr="00E955B3" w:rsidRDefault="00D903CC" w:rsidP="00E955B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x-none"/>
      </w:rPr>
    </w:pPr>
    <w:r w:rsidRPr="00E955B3">
      <w:rPr>
        <w:rFonts w:ascii="Times New Roman" w:eastAsia="Times New Roman" w:hAnsi="Times New Roman"/>
        <w:sz w:val="20"/>
        <w:szCs w:val="20"/>
        <w:lang w:eastAsia="x-none"/>
      </w:rPr>
      <w:t>Министр</w:t>
    </w:r>
    <w:r w:rsidRPr="000B3B12">
      <w:rPr>
        <w:rFonts w:ascii="Times New Roman" w:eastAsia="Times New Roman" w:hAnsi="Times New Roman"/>
        <w:sz w:val="20"/>
        <w:szCs w:val="20"/>
        <w:lang w:val="x-none" w:eastAsia="x-none"/>
      </w:rPr>
      <w:t>___________________</w:t>
    </w:r>
    <w:r>
      <w:rPr>
        <w:rFonts w:ascii="Times New Roman" w:eastAsia="Times New Roman" w:hAnsi="Times New Roman"/>
        <w:sz w:val="20"/>
        <w:szCs w:val="20"/>
        <w:lang w:eastAsia="x-none"/>
      </w:rPr>
      <w:t>_________З.М.Аскаров                             «____»_____________2020г.</w:t>
    </w:r>
  </w:p>
  <w:p w:rsidR="000B3B12" w:rsidRPr="000B3B12" w:rsidRDefault="00D903CC" w:rsidP="000B3B12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val="x-none" w:eastAsia="x-none"/>
      </w:rPr>
    </w:pPr>
  </w:p>
  <w:p w:rsidR="000B3B12" w:rsidRPr="00E955B3" w:rsidRDefault="00D903CC" w:rsidP="00E955B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x-none"/>
      </w:rPr>
    </w:pPr>
    <w:r>
      <w:rPr>
        <w:rFonts w:ascii="Times New Roman" w:eastAsia="Times New Roman" w:hAnsi="Times New Roman"/>
        <w:sz w:val="20"/>
        <w:szCs w:val="20"/>
        <w:lang w:eastAsia="x-none"/>
      </w:rPr>
      <w:t>Нач</w:t>
    </w:r>
    <w:r w:rsidRPr="000B3B12">
      <w:rPr>
        <w:rFonts w:ascii="Times New Roman" w:eastAsia="Times New Roman" w:hAnsi="Times New Roman"/>
        <w:sz w:val="20"/>
        <w:szCs w:val="20"/>
        <w:lang w:val="x-none" w:eastAsia="x-none"/>
      </w:rPr>
      <w:t xml:space="preserve">. ОПО </w:t>
    </w:r>
    <w:r>
      <w:rPr>
        <w:rFonts w:ascii="Times New Roman" w:eastAsia="Times New Roman" w:hAnsi="Times New Roman"/>
        <w:sz w:val="20"/>
        <w:szCs w:val="20"/>
        <w:lang w:val="x-none" w:eastAsia="x-none"/>
      </w:rPr>
      <w:t xml:space="preserve"> _______________</w:t>
    </w:r>
    <w:r>
      <w:rPr>
        <w:rFonts w:ascii="Times New Roman" w:eastAsia="Times New Roman" w:hAnsi="Times New Roman"/>
        <w:sz w:val="20"/>
        <w:szCs w:val="20"/>
        <w:lang w:eastAsia="x-none"/>
      </w:rPr>
      <w:t>___Р.Масадыков                                         «____»_____________2020г.</w:t>
    </w:r>
  </w:p>
  <w:p w:rsidR="000B3B12" w:rsidRPr="000B3B12" w:rsidRDefault="00D903CC">
    <w:pPr>
      <w:pStyle w:val="a3"/>
      <w:rPr>
        <w:lang w:val="x-none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CA"/>
    <w:rsid w:val="005D08CA"/>
    <w:rsid w:val="007D163D"/>
    <w:rsid w:val="00D9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90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90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90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90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toktom://db/109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4162</Words>
  <Characters>23726</Characters>
  <Application>Microsoft Office Word</Application>
  <DocSecurity>0</DocSecurity>
  <Lines>197</Lines>
  <Paragraphs>55</Paragraphs>
  <ScaleCrop>false</ScaleCrop>
  <Company/>
  <LinksUpToDate>false</LinksUpToDate>
  <CharactersWithSpaces>27833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</dc:creator>
  <cp:keywords/>
  <dc:description/>
  <cp:lastModifiedBy>OPT</cp:lastModifiedBy>
  <cp:revision>2</cp:revision>
  <dcterms:created xsi:type="dcterms:W3CDTF">2020-09-02T03:29:00Z</dcterms:created>
  <dcterms:modified xsi:type="dcterms:W3CDTF">2020-09-02T03:30:00Z</dcterms:modified>
</cp:coreProperties>
</file>