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547">
        <w:rPr>
          <w:rFonts w:ascii="Times New Roman" w:hAnsi="Times New Roman" w:cs="Times New Roman"/>
          <w:sz w:val="28"/>
          <w:szCs w:val="28"/>
        </w:rPr>
        <w:t>Приложение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pStyle w:val="tkZagolovok1"/>
        <w:tabs>
          <w:tab w:val="left" w:pos="993"/>
          <w:tab w:val="left" w:pos="1134"/>
        </w:tabs>
        <w:spacing w:before="0"/>
        <w:ind w:left="0" w:right="0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О</w:t>
      </w:r>
      <w:r w:rsidR="00FF7949" w:rsidRPr="007E1547">
        <w:rPr>
          <w:rFonts w:ascii="Times New Roman" w:hAnsi="Times New Roman" w:cs="Times New Roman"/>
          <w:sz w:val="28"/>
          <w:szCs w:val="28"/>
        </w:rPr>
        <w:t>сновные</w:t>
      </w:r>
      <w:r w:rsidRPr="007E1547">
        <w:rPr>
          <w:rFonts w:ascii="Times New Roman" w:hAnsi="Times New Roman" w:cs="Times New Roman"/>
          <w:sz w:val="28"/>
          <w:szCs w:val="28"/>
        </w:rPr>
        <w:t xml:space="preserve"> </w:t>
      </w:r>
      <w:r w:rsidR="00FF7949" w:rsidRPr="007E1547">
        <w:rPr>
          <w:rFonts w:ascii="Times New Roman" w:hAnsi="Times New Roman" w:cs="Times New Roman"/>
          <w:sz w:val="28"/>
          <w:szCs w:val="28"/>
        </w:rPr>
        <w:t>направления</w:t>
      </w:r>
      <w:r w:rsidRPr="007E1547">
        <w:rPr>
          <w:rFonts w:ascii="Times New Roman" w:hAnsi="Times New Roman" w:cs="Times New Roman"/>
          <w:sz w:val="28"/>
          <w:szCs w:val="28"/>
        </w:rPr>
        <w:br/>
        <w:t>ра</w:t>
      </w:r>
      <w:r w:rsidR="00711B46" w:rsidRPr="007E1547">
        <w:rPr>
          <w:rFonts w:ascii="Times New Roman" w:hAnsi="Times New Roman" w:cs="Times New Roman"/>
          <w:sz w:val="28"/>
          <w:szCs w:val="28"/>
        </w:rPr>
        <w:t>звития дорожной отрасли на 202</w:t>
      </w:r>
      <w:r w:rsidR="00CE1AE7">
        <w:rPr>
          <w:rFonts w:ascii="Times New Roman" w:hAnsi="Times New Roman" w:cs="Times New Roman"/>
          <w:sz w:val="28"/>
          <w:szCs w:val="28"/>
        </w:rPr>
        <w:t>3</w:t>
      </w:r>
      <w:r w:rsidR="00711B46" w:rsidRPr="007E1547">
        <w:rPr>
          <w:rFonts w:ascii="Times New Roman" w:hAnsi="Times New Roman" w:cs="Times New Roman"/>
          <w:sz w:val="28"/>
          <w:szCs w:val="28"/>
        </w:rPr>
        <w:t>–</w:t>
      </w:r>
      <w:r w:rsidRPr="007E1547">
        <w:rPr>
          <w:rFonts w:ascii="Times New Roman" w:hAnsi="Times New Roman" w:cs="Times New Roman"/>
          <w:sz w:val="28"/>
          <w:szCs w:val="28"/>
        </w:rPr>
        <w:t>2030 годы</w:t>
      </w:r>
    </w:p>
    <w:p w:rsidR="008F1538" w:rsidRPr="007E1547" w:rsidRDefault="008F1538" w:rsidP="007E1547">
      <w:pPr>
        <w:pStyle w:val="tkZagolovok1"/>
        <w:tabs>
          <w:tab w:val="left" w:pos="993"/>
          <w:tab w:val="left" w:pos="1134"/>
        </w:tabs>
        <w:spacing w:before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>Глава 1. Общая оценка текущей ситуации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По автомобильным дорогам общего пользования в Кыргызской Республике обеспечивается около 98 % пассажирских и более 96 % грузовых перевозок,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 перевозится до 40 млн тонн различных грузов и до 640 млн пассажиров.</w:t>
      </w:r>
      <w:r w:rsidRPr="007E1547">
        <w:rPr>
          <w:rFonts w:ascii="Times New Roman" w:hAnsi="Times New Roman" w:cs="Times New Roman"/>
          <w:sz w:val="28"/>
          <w:szCs w:val="28"/>
        </w:rPr>
        <w:t xml:space="preserve"> Общая протяженность автомобильных дорог и улиц в Кыргызской Республике составляет около 34000 км, из них протяженность автомобильных дорог общего пользования </w:t>
      </w:r>
      <w:r w:rsidR="00E05D40" w:rsidRPr="007E1547">
        <w:rPr>
          <w:rFonts w:ascii="Times New Roman" w:hAnsi="Times New Roman" w:cs="Times New Roman"/>
          <w:sz w:val="28"/>
          <w:szCs w:val="28"/>
        </w:rPr>
        <w:br/>
      </w:r>
      <w:r w:rsidRPr="007E1547">
        <w:rPr>
          <w:rFonts w:ascii="Times New Roman" w:hAnsi="Times New Roman" w:cs="Times New Roman"/>
          <w:sz w:val="28"/>
          <w:szCs w:val="28"/>
        </w:rPr>
        <w:t xml:space="preserve">19000 км, которые обслуживаются структурными подразделениями Министерства транспорта и коммуникаций Кыргызской </w:t>
      </w:r>
      <w:r w:rsidR="008B671B" w:rsidRPr="007E1547">
        <w:rPr>
          <w:rFonts w:ascii="Times New Roman" w:hAnsi="Times New Roman" w:cs="Times New Roman"/>
          <w:sz w:val="28"/>
          <w:szCs w:val="28"/>
        </w:rPr>
        <w:t>Республики (</w:t>
      </w:r>
      <w:r w:rsidRPr="007E154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471DF" w:rsidRPr="007E1547">
        <w:rPr>
          <w:rFonts w:ascii="Times New Roman" w:hAnsi="Times New Roman" w:cs="Times New Roman"/>
          <w:sz w:val="28"/>
          <w:szCs w:val="28"/>
        </w:rPr>
        <w:t>– МТ</w:t>
      </w:r>
      <w:r w:rsidRPr="007E1547">
        <w:rPr>
          <w:rFonts w:ascii="Times New Roman" w:hAnsi="Times New Roman" w:cs="Times New Roman"/>
          <w:sz w:val="28"/>
          <w:szCs w:val="28"/>
        </w:rPr>
        <w:t xml:space="preserve">К), улицы и дороги городов, населенных пунктов городского типа и сел, сельскохозяйственных, промышленных и других предприятий – 15190 км. Автомобильные дороги общего пользования по своему хозяйственному и административному назначению подразделяются на автомобильные дороги международного значения с общей протяженностью 4326 км, государственного значения – 5335 км и местного значения – 9149 км. Протяженность автомобильных дорог общего пользования с твердым покрытием составляет 7580 км, в том числе с цементобетонным – </w:t>
      </w:r>
      <w:r w:rsidR="00E05D40" w:rsidRPr="007E1547">
        <w:rPr>
          <w:rFonts w:ascii="Times New Roman" w:hAnsi="Times New Roman" w:cs="Times New Roman"/>
          <w:sz w:val="28"/>
          <w:szCs w:val="28"/>
        </w:rPr>
        <w:br/>
      </w:r>
      <w:r w:rsidRPr="007E1547">
        <w:rPr>
          <w:rFonts w:ascii="Times New Roman" w:hAnsi="Times New Roman" w:cs="Times New Roman"/>
          <w:sz w:val="28"/>
          <w:szCs w:val="28"/>
        </w:rPr>
        <w:t>10 км, асфальтобетонным – 5698 км и с черногравийным – 1871 км. Дорог с гравийным покрытием – 9388 км. Все еще имеются грунтовые дороги, общая длина которых составляет 1617 км.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Из-за недофинансирования дорожной отрасли, в период с момента приобретения Кыргызской Республикой суверенитета по 2005 год, техническое состояние автомобильных дорог общего пользования оставалось критическим. Стабилизация финансирования дорожной отрасли осуществлялась в течение 2005–2007 годов.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Начиная с 2006 по 2010 год бюджет на строительство, ремонт и содержание автомобильных дорог общего пользования и дорожной отрасли увеличился в 7,7 раза, что позволило улучшить состояние мостов, больших труб различных размеров, более 630 км дорог с асфальтобетонным и черногравийным покрытием и более 200 км гравийных дорог.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Период с 2010 по 2020 годы характеризуется относительной стабильностью как институциональной, так и финансовой основ, при установившихся условиях недостаточного финансирования из бюджета.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Дальнейшее стабильное функционирование дорожной отрасли во многом зависит не только от объема финансирования, но и от качества решения поставленных задач при достижении целей развития</w:t>
      </w:r>
      <w:r w:rsidR="002D3929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</w:t>
      </w:r>
      <w:r w:rsidRPr="007E1547">
        <w:rPr>
          <w:rFonts w:ascii="Times New Roman" w:hAnsi="Times New Roman" w:cs="Times New Roman"/>
          <w:sz w:val="28"/>
          <w:szCs w:val="28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lastRenderedPageBreak/>
        <w:t xml:space="preserve">дорожной отрасли в рамках Основных направлений развития дорожной отрасли Кыргызской Республики до 2030 года (далее </w:t>
      </w:r>
      <w:r w:rsidR="000471DF" w:rsidRPr="007E1547">
        <w:rPr>
          <w:rFonts w:ascii="Times New Roman" w:hAnsi="Times New Roman" w:cs="Times New Roman"/>
          <w:sz w:val="28"/>
          <w:szCs w:val="28"/>
        </w:rPr>
        <w:t>–</w:t>
      </w:r>
      <w:r w:rsidRPr="007E1547">
        <w:rPr>
          <w:rFonts w:ascii="Times New Roman" w:hAnsi="Times New Roman" w:cs="Times New Roman"/>
          <w:sz w:val="28"/>
          <w:szCs w:val="28"/>
        </w:rPr>
        <w:t xml:space="preserve"> ОНРДО</w:t>
      </w:r>
      <w:r w:rsidR="001213FE">
        <w:rPr>
          <w:rFonts w:ascii="Times New Roman" w:hAnsi="Times New Roman" w:cs="Times New Roman"/>
          <w:sz w:val="28"/>
          <w:szCs w:val="28"/>
        </w:rPr>
        <w:t>-</w:t>
      </w:r>
      <w:r w:rsidRPr="007E1547">
        <w:rPr>
          <w:rFonts w:ascii="Times New Roman" w:hAnsi="Times New Roman" w:cs="Times New Roman"/>
          <w:sz w:val="28"/>
          <w:szCs w:val="28"/>
        </w:rPr>
        <w:t>2030).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В условиях имеющейся политики государства об удерживании инфляции в пределах 5</w:t>
      </w:r>
      <w:r w:rsidR="000471DF" w:rsidRPr="007E1547">
        <w:rPr>
          <w:rFonts w:ascii="Times New Roman" w:hAnsi="Times New Roman" w:cs="Times New Roman"/>
          <w:sz w:val="28"/>
          <w:szCs w:val="28"/>
        </w:rPr>
        <w:t>–7 %</w:t>
      </w:r>
      <w:r w:rsidRPr="007E1547">
        <w:rPr>
          <w:rFonts w:ascii="Times New Roman" w:hAnsi="Times New Roman" w:cs="Times New Roman"/>
          <w:sz w:val="28"/>
          <w:szCs w:val="28"/>
        </w:rPr>
        <w:t xml:space="preserve">, финансирование автомобильных дорог общего пользования для его содержания, в частности за последние </w:t>
      </w:r>
      <w:r w:rsidR="00331F3B" w:rsidRPr="00331F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547">
        <w:rPr>
          <w:rFonts w:ascii="Times New Roman" w:hAnsi="Times New Roman" w:cs="Times New Roman"/>
          <w:sz w:val="28"/>
          <w:szCs w:val="28"/>
        </w:rPr>
        <w:t xml:space="preserve">5 лет, является относительно стабильным, с учетом ориентирования республиканского бюджета на социальные выплаты и привлечение внешнего финансирования на строительство дорог в пределах 35–48 </w:t>
      </w:r>
      <w:r w:rsidR="000471DF" w:rsidRPr="007E1547">
        <w:rPr>
          <w:rFonts w:ascii="Times New Roman" w:hAnsi="Times New Roman" w:cs="Times New Roman"/>
          <w:sz w:val="28"/>
          <w:szCs w:val="28"/>
        </w:rPr>
        <w:t>%</w:t>
      </w:r>
      <w:r w:rsidRPr="007E1547">
        <w:rPr>
          <w:rFonts w:ascii="Times New Roman" w:hAnsi="Times New Roman" w:cs="Times New Roman"/>
          <w:sz w:val="28"/>
          <w:szCs w:val="28"/>
        </w:rPr>
        <w:t xml:space="preserve"> от общего объема внешних инвестиций. Вместе с тем нехватка денежных средств из бюджета, как и во многих странах с «неформальной» экономикой (по данным Национального статистического комитета </w:t>
      </w:r>
      <w:r w:rsidR="000471DF" w:rsidRPr="007E1547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7E1547">
        <w:rPr>
          <w:rFonts w:ascii="Times New Roman" w:hAnsi="Times New Roman" w:cs="Times New Roman"/>
          <w:sz w:val="28"/>
          <w:szCs w:val="28"/>
        </w:rPr>
        <w:t>более 23 %), обусловлена неэффективным планированием работ и услуг, как следствие, неэффективным их выполнением в рамках выделенных средств, тогда как на сферу транспорта и дорог приходится наибольший удельный вес всех поступающих инвестиций.</w:t>
      </w:r>
    </w:p>
    <w:p w:rsidR="00C13F03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E1547">
        <w:rPr>
          <w:rFonts w:ascii="Times New Roman" w:hAnsi="Times New Roman" w:cs="Times New Roman"/>
          <w:sz w:val="28"/>
          <w:szCs w:val="28"/>
        </w:rPr>
        <w:t xml:space="preserve">остояние автомобильных дорог и дорожных сооружений </w:t>
      </w:r>
      <w:r w:rsidRPr="007E1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одним из главных препятствий в повышении конкурентоспособности страны на внешнем рынке. Так, в соответствии с последним опубликованным Всемирным экономическим форумом отчетом о глобальной конкурентоспособности Кыргызская Республика занимает 113 место по качеству автомобильных дорог из 141 стран</w:t>
      </w:r>
      <w:r w:rsidR="000471DF" w:rsidRPr="007E1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E1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мира и находится на протяжении нескольки</w:t>
      </w:r>
      <w:r w:rsidR="00C13F03" w:rsidRPr="007E1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лет в двадцатке худших стран.</w:t>
      </w:r>
    </w:p>
    <w:p w:rsidR="008F1538" w:rsidRPr="007E1547" w:rsidRDefault="008F1538" w:rsidP="007E1547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>Институциональная основа</w:t>
      </w:r>
    </w:p>
    <w:p w:rsidR="00C13F03" w:rsidRPr="007E1547" w:rsidRDefault="00C13F03" w:rsidP="007E1547">
      <w:pPr>
        <w:pStyle w:val="a5"/>
        <w:tabs>
          <w:tab w:val="left" w:pos="993"/>
          <w:tab w:val="left" w:pos="1134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F1538" w:rsidRPr="007E1547" w:rsidRDefault="000471DF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Основными подразделениями МТ</w:t>
      </w:r>
      <w:r w:rsidR="008F1538" w:rsidRPr="007E1547">
        <w:rPr>
          <w:rFonts w:ascii="Times New Roman" w:hAnsi="Times New Roman" w:cs="Times New Roman"/>
          <w:sz w:val="28"/>
          <w:szCs w:val="28"/>
        </w:rPr>
        <w:t>К, которые формируют, реализуют государственную политику и осуществляют управление транспортной дорожной сетью являются Управление автомобильных дорог</w:t>
      </w:r>
      <w:r w:rsidRPr="007E1547">
        <w:rPr>
          <w:rFonts w:ascii="Times New Roman" w:hAnsi="Times New Roman" w:cs="Times New Roman"/>
          <w:sz w:val="28"/>
          <w:szCs w:val="28"/>
        </w:rPr>
        <w:t xml:space="preserve"> МТК</w:t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 на центральном уровне, Департамент дорожного хозяйства</w:t>
      </w:r>
      <w:r w:rsidRPr="007E1547">
        <w:rPr>
          <w:rFonts w:ascii="Times New Roman" w:hAnsi="Times New Roman" w:cs="Times New Roman"/>
          <w:sz w:val="28"/>
          <w:szCs w:val="28"/>
        </w:rPr>
        <w:t xml:space="preserve"> при МТК</w:t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, который является заказчиком по всем видам дорожных работ и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несет ответственность за осуществление работ по строительству, ремонту и содержанию автомобильных дорог </w:t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и Департамент </w:t>
      </w:r>
      <w:r w:rsidR="006605EB" w:rsidRPr="007E1547">
        <w:rPr>
          <w:rFonts w:ascii="Times New Roman" w:hAnsi="Times New Roman" w:cs="Times New Roman"/>
          <w:sz w:val="28"/>
          <w:szCs w:val="28"/>
        </w:rPr>
        <w:t>наземного и водного</w:t>
      </w:r>
      <w:r w:rsidR="00711B46" w:rsidRPr="007E1547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Pr="007E1547">
        <w:rPr>
          <w:rFonts w:ascii="Times New Roman" w:hAnsi="Times New Roman" w:cs="Times New Roman"/>
          <w:sz w:val="28"/>
          <w:szCs w:val="28"/>
        </w:rPr>
        <w:t xml:space="preserve">при МТК </w:t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в отношении контроля транспортных перевозок.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Многочисленные исследования, проведенные международными донорами, а также реформы, проводимые министерством на протяжении последних 5 лет, в реализацию ОНРДО</w:t>
      </w:r>
      <w:r w:rsidR="001213FE">
        <w:rPr>
          <w:rFonts w:ascii="Times New Roman" w:hAnsi="Times New Roman" w:cs="Times New Roman"/>
          <w:sz w:val="28"/>
          <w:szCs w:val="28"/>
        </w:rPr>
        <w:t>-</w:t>
      </w:r>
      <w:r w:rsidRPr="007E1547">
        <w:rPr>
          <w:rFonts w:ascii="Times New Roman" w:hAnsi="Times New Roman" w:cs="Times New Roman"/>
          <w:sz w:val="28"/>
          <w:szCs w:val="28"/>
        </w:rPr>
        <w:t xml:space="preserve">2016 свидетельствуют о неизменности курса в реализации задач, поставленных перед отраслью по подготовке к внедрению рыночных механизмов управления; укреплению финансовой основы финансирования дорожной отрасли; внедрению цифровых ресурсов управления для обеспечения ее наиболее эффективного развития в интересах государства и населения.  </w:t>
      </w:r>
    </w:p>
    <w:p w:rsidR="008F1538" w:rsidRPr="007E1547" w:rsidRDefault="008F1538" w:rsidP="007E1547">
      <w:pPr>
        <w:tabs>
          <w:tab w:val="left" w:pos="993"/>
          <w:tab w:val="center" w:pos="46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ab/>
      </w:r>
      <w:r w:rsidRPr="007E1547">
        <w:rPr>
          <w:rFonts w:ascii="Times New Roman" w:hAnsi="Times New Roman" w:cs="Times New Roman"/>
          <w:sz w:val="28"/>
          <w:szCs w:val="28"/>
        </w:rPr>
        <w:tab/>
      </w:r>
    </w:p>
    <w:p w:rsidR="008F1538" w:rsidRPr="007E1547" w:rsidRDefault="008F1538" w:rsidP="007E1547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lastRenderedPageBreak/>
        <w:t>Состояние автомобильных дорог международного значения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международного значения составляет 4326 км. За счет привлечения инвестиций международных доноров, таких как Азиатский банк развития, Европейский банк реконструкции и развития, Экспортно-импортный банк Китая, Всемирный банк, Европейский союз, Евразийский банк развития, Японское агентство международного сотрудничества, Арабская координационная группа, Государственный банк Китайской Народной Республики и других, начиная с 1997 года реабилитировано 2043 км автомобильных дорог международного значения, 900 км охвачены проектами по реабилитации автодорог.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2010 по 2019 годы протяженность участков международных автомобильных дорог в хорошем состоянии увеличил</w:t>
      </w:r>
      <w:r w:rsidR="006605EB"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 21 % в 2010 году до 44 % в 2019 году.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1. Состояние автомобильных дорог международного значения </w:t>
      </w:r>
    </w:p>
    <w:p w:rsidR="008F1538" w:rsidRPr="007E1547" w:rsidRDefault="008F1538" w:rsidP="007E1547">
      <w:pPr>
        <w:tabs>
          <w:tab w:val="left" w:pos="993"/>
          <w:tab w:val="left" w:pos="113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595"/>
        <w:gridCol w:w="1932"/>
        <w:gridCol w:w="1271"/>
        <w:gridCol w:w="1527"/>
        <w:gridCol w:w="1264"/>
      </w:tblGrid>
      <w:tr w:rsidR="008F1538" w:rsidRPr="007E1547" w:rsidTr="008F1538">
        <w:trPr>
          <w:trHeight w:val="43"/>
        </w:trPr>
        <w:tc>
          <w:tcPr>
            <w:tcW w:w="53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OLE_LINK2"/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93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Реабилити</w:t>
            </w:r>
            <w:r w:rsidR="006605EB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ровано, км</w:t>
            </w:r>
          </w:p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протяженность, км</w:t>
            </w:r>
          </w:p>
        </w:tc>
        <w:tc>
          <w:tcPr>
            <w:tcW w:w="239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дорог</w:t>
            </w:r>
          </w:p>
        </w:tc>
      </w:tr>
      <w:tr w:rsidR="008F1538" w:rsidRPr="007E1547" w:rsidTr="002525F9">
        <w:tc>
          <w:tcPr>
            <w:tcW w:w="533" w:type="pct"/>
            <w:vMerge/>
            <w:shd w:val="clear" w:color="auto" w:fill="FFFFFF"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  <w:vMerge/>
            <w:shd w:val="clear" w:color="auto" w:fill="FFFFFF"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pct"/>
            <w:vMerge/>
            <w:shd w:val="clear" w:color="auto" w:fill="FFFFFF"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орошее</w:t>
            </w:r>
          </w:p>
        </w:tc>
        <w:tc>
          <w:tcPr>
            <w:tcW w:w="8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довлет.</w:t>
            </w:r>
          </w:p>
        </w:tc>
        <w:tc>
          <w:tcPr>
            <w:tcW w:w="7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лохое</w:t>
            </w:r>
          </w:p>
        </w:tc>
      </w:tr>
      <w:tr w:rsidR="008F1538" w:rsidRPr="007E1547" w:rsidTr="002525F9">
        <w:tc>
          <w:tcPr>
            <w:tcW w:w="5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4152</w:t>
            </w:r>
          </w:p>
        </w:tc>
        <w:tc>
          <w:tcPr>
            <w:tcW w:w="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858</w:t>
            </w:r>
          </w:p>
        </w:tc>
        <w:tc>
          <w:tcPr>
            <w:tcW w:w="8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2152</w:t>
            </w:r>
          </w:p>
        </w:tc>
        <w:tc>
          <w:tcPr>
            <w:tcW w:w="7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1142</w:t>
            </w:r>
          </w:p>
        </w:tc>
      </w:tr>
      <w:tr w:rsidR="008F1538" w:rsidRPr="007E1547" w:rsidTr="002525F9">
        <w:tc>
          <w:tcPr>
            <w:tcW w:w="5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661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4183</w:t>
            </w:r>
          </w:p>
        </w:tc>
        <w:tc>
          <w:tcPr>
            <w:tcW w:w="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1518</w:t>
            </w:r>
          </w:p>
        </w:tc>
        <w:tc>
          <w:tcPr>
            <w:tcW w:w="8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2215</w:t>
            </w:r>
          </w:p>
        </w:tc>
        <w:tc>
          <w:tcPr>
            <w:tcW w:w="7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</w:tr>
      <w:tr w:rsidR="008F1538" w:rsidRPr="007E1547" w:rsidTr="002525F9">
        <w:tc>
          <w:tcPr>
            <w:tcW w:w="5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4183</w:t>
            </w:r>
          </w:p>
        </w:tc>
        <w:tc>
          <w:tcPr>
            <w:tcW w:w="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1854</w:t>
            </w:r>
          </w:p>
        </w:tc>
        <w:tc>
          <w:tcPr>
            <w:tcW w:w="8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1679</w:t>
            </w:r>
          </w:p>
        </w:tc>
        <w:tc>
          <w:tcPr>
            <w:tcW w:w="7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</w:tr>
      <w:bookmarkEnd w:id="1"/>
    </w:tbl>
    <w:p w:rsidR="008F1538" w:rsidRPr="007E1547" w:rsidRDefault="008F1538" w:rsidP="007E1547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Протяженность участков автодорог, составляющих международные автотранспортные коридоры, составляет 2538 км. По сравнению с 2015</w:t>
      </w:r>
      <w:r w:rsidRPr="007E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t>годом в 2019 году их протяженность в хорошем состоянии уменьшилась и составила 58 % в 2019 году против 68 % в 2015 году.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>Таблица 2. Состояние международных автотранспортных коридоров</w:t>
      </w:r>
      <w:r w:rsidRPr="007E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718"/>
        <w:gridCol w:w="1254"/>
        <w:gridCol w:w="1689"/>
        <w:gridCol w:w="1779"/>
      </w:tblGrid>
      <w:tr w:rsidR="008F1538" w:rsidRPr="007E1547" w:rsidTr="008F1538"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437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дорог</w:t>
            </w:r>
          </w:p>
        </w:tc>
      </w:tr>
      <w:tr w:rsidR="008F1538" w:rsidRPr="007E1547" w:rsidTr="008F1538">
        <w:tc>
          <w:tcPr>
            <w:tcW w:w="622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протяженность, км</w:t>
            </w:r>
          </w:p>
        </w:tc>
        <w:tc>
          <w:tcPr>
            <w:tcW w:w="277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8F1538" w:rsidRPr="007E1547" w:rsidTr="008F1538">
        <w:tc>
          <w:tcPr>
            <w:tcW w:w="622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орошее</w:t>
            </w:r>
          </w:p>
        </w:tc>
        <w:tc>
          <w:tcPr>
            <w:tcW w:w="9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довл.</w:t>
            </w:r>
          </w:p>
        </w:tc>
        <w:tc>
          <w:tcPr>
            <w:tcW w:w="10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лохое</w:t>
            </w:r>
          </w:p>
        </w:tc>
      </w:tr>
      <w:tr w:rsidR="008F1538" w:rsidRPr="007E1547" w:rsidTr="008F1538"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0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8F1538" w:rsidRPr="007E1547" w:rsidTr="008F1538"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9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0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538" w:rsidRPr="007E1547" w:rsidTr="008F1538"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7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9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0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</w:tbl>
    <w:p w:rsidR="008F1538" w:rsidRPr="007E1547" w:rsidRDefault="008F1538" w:rsidP="007E1547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1213FE" w:rsidRDefault="001213FE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13FE" w:rsidRDefault="001213FE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7E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автомобильных дорог государственного и местного значений</w:t>
      </w:r>
    </w:p>
    <w:p w:rsidR="008F1538" w:rsidRPr="001213FE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 декабря 2019 года общая протяженность государственных и местных автомобильных дорог составила 14576 км, из них 36 км – в отличном (0,2 %), 3500 – в хорошем (24 %), 5830 км – в удовлетворительном (40</w:t>
      </w:r>
      <w:r w:rsidR="000471DF"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5210 км в неудовлетворительном состоянии (36 %). По сравнению с 2015 годом доля автомобильных дорог в отличном и хорошем состоянии уменьшилась с 32 % до 24 % в 2020 году.</w:t>
      </w:r>
    </w:p>
    <w:p w:rsidR="008F1538" w:rsidRPr="001213FE" w:rsidRDefault="008F1538" w:rsidP="007E1547">
      <w:pPr>
        <w:tabs>
          <w:tab w:val="left" w:pos="993"/>
          <w:tab w:val="left" w:pos="1134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Таблица 3. Состояние государственных и местных дорог</w:t>
      </w:r>
    </w:p>
    <w:p w:rsidR="008F1538" w:rsidRPr="001213FE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545"/>
        <w:gridCol w:w="1519"/>
        <w:gridCol w:w="1557"/>
        <w:gridCol w:w="1530"/>
        <w:gridCol w:w="1290"/>
      </w:tblGrid>
      <w:tr w:rsidR="008F1538" w:rsidRPr="007E1547" w:rsidTr="008F1538">
        <w:tc>
          <w:tcPr>
            <w:tcW w:w="6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437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дорог</w:t>
            </w:r>
          </w:p>
        </w:tc>
      </w:tr>
      <w:tr w:rsidR="008F1538" w:rsidRPr="007E1547" w:rsidTr="008F1538">
        <w:tc>
          <w:tcPr>
            <w:tcW w:w="622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длина</w:t>
            </w:r>
          </w:p>
        </w:tc>
        <w:tc>
          <w:tcPr>
            <w:tcW w:w="346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8F1538" w:rsidRPr="007E1547" w:rsidTr="008F1538">
        <w:tc>
          <w:tcPr>
            <w:tcW w:w="622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тличное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орошее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довл.</w:t>
            </w:r>
          </w:p>
        </w:tc>
        <w:tc>
          <w:tcPr>
            <w:tcW w:w="7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F1538"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лохое</w:t>
            </w:r>
          </w:p>
        </w:tc>
      </w:tr>
      <w:tr w:rsidR="008F1538" w:rsidRPr="007E1547" w:rsidTr="008F1538"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14545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9511</w:t>
            </w:r>
          </w:p>
        </w:tc>
        <w:tc>
          <w:tcPr>
            <w:tcW w:w="7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</w:tr>
      <w:tr w:rsidR="008F1538" w:rsidRPr="007E1547" w:rsidTr="008F1538"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14576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7767</w:t>
            </w:r>
          </w:p>
        </w:tc>
        <w:tc>
          <w:tcPr>
            <w:tcW w:w="7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</w:tr>
      <w:tr w:rsidR="008F1538" w:rsidRPr="007E1547" w:rsidTr="008F1538"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14576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5830</w:t>
            </w:r>
          </w:p>
        </w:tc>
        <w:tc>
          <w:tcPr>
            <w:tcW w:w="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5210</w:t>
            </w:r>
          </w:p>
        </w:tc>
      </w:tr>
    </w:tbl>
    <w:p w:rsidR="008F1538" w:rsidRPr="001213FE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E1547">
        <w:rPr>
          <w:rFonts w:ascii="Times New Roman" w:hAnsi="Times New Roman" w:cs="Times New Roman"/>
          <w:b/>
          <w:bCs/>
          <w:sz w:val="28"/>
          <w:szCs w:val="28"/>
        </w:rPr>
        <w:t xml:space="preserve">Таблица 4. Состояние автомобильных дорог по методике </w:t>
      </w:r>
      <w:r w:rsidRPr="007E1547">
        <w:rPr>
          <w:rFonts w:ascii="Times New Roman" w:hAnsi="Times New Roman" w:cs="Times New Roman"/>
          <w:b/>
          <w:bCs/>
          <w:sz w:val="28"/>
          <w:szCs w:val="28"/>
          <w:lang w:val="en-US"/>
        </w:rPr>
        <w:t>IRI</w:t>
      </w:r>
      <w:r w:rsidRPr="007E15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1538" w:rsidRPr="001213FE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037"/>
        <w:gridCol w:w="1917"/>
        <w:gridCol w:w="2656"/>
        <w:gridCol w:w="1890"/>
      </w:tblGrid>
      <w:tr w:rsidR="008F1538" w:rsidRPr="007E1547" w:rsidTr="0048302F">
        <w:tc>
          <w:tcPr>
            <w:tcW w:w="2037" w:type="dxa"/>
          </w:tcPr>
          <w:p w:rsidR="008F1538" w:rsidRPr="007E1547" w:rsidRDefault="006605E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дорог</w:t>
            </w:r>
          </w:p>
        </w:tc>
        <w:tc>
          <w:tcPr>
            <w:tcW w:w="1917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r w:rsidR="006605EB"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IRI &lt;3.5</w:t>
            </w:r>
          </w:p>
        </w:tc>
        <w:tc>
          <w:tcPr>
            <w:tcW w:w="2656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Удовлетворительн</w:t>
            </w:r>
            <w:r w:rsidR="006605EB"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IRI&lt;5.5</w:t>
            </w:r>
          </w:p>
        </w:tc>
        <w:tc>
          <w:tcPr>
            <w:tcW w:w="1890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Плох</w:t>
            </w:r>
            <w:r w:rsidR="006605EB"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IRI&gt;5.5</w:t>
            </w:r>
          </w:p>
        </w:tc>
      </w:tr>
      <w:tr w:rsidR="008F1538" w:rsidRPr="007E1547" w:rsidTr="0048302F">
        <w:tc>
          <w:tcPr>
            <w:tcW w:w="2037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59.7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2656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21.1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19.0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</w:tr>
      <w:tr w:rsidR="008F1538" w:rsidRPr="007E1547" w:rsidTr="0048302F">
        <w:tc>
          <w:tcPr>
            <w:tcW w:w="2037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24.1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2656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27.1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46.5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</w:tr>
      <w:tr w:rsidR="008F1538" w:rsidRPr="007E1547" w:rsidTr="0048302F">
        <w:tc>
          <w:tcPr>
            <w:tcW w:w="2037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20.2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2656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27.5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51.3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</w:tr>
      <w:tr w:rsidR="008F1538" w:rsidRPr="007E1547" w:rsidTr="0048302F">
        <w:tc>
          <w:tcPr>
            <w:tcW w:w="2037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43.9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2656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23.7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31.5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val="ru-RU" w:bidi="lo-LA"/>
              </w:rPr>
              <w:t xml:space="preserve"> </w:t>
            </w: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%</w:t>
            </w:r>
          </w:p>
        </w:tc>
      </w:tr>
    </w:tbl>
    <w:p w:rsidR="008F1538" w:rsidRPr="001213FE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Состояние мостовых сооружений и тоннелей</w:t>
      </w:r>
    </w:p>
    <w:p w:rsidR="008F1538" w:rsidRPr="001213FE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международных и государственных автомобильных дорогах Кыргызской Республики насчитывается порядка 924 моста, 45 из них находятся в критическом и аварийном состояниях. По предварительным расчетам экспертов из Японии по проекту «Развитие потенциала управления техническим обслуживанием мостов и тоннелей в Кыргызской Республике» для восстановления 45 мостов в течение 3 лет необходимы средства в объеме 762,0 млн сомов, которые должны быть учтены при планировании работ по ремонту и содержанию автомобильных дорог.</w:t>
      </w:r>
    </w:p>
    <w:p w:rsidR="007E1547" w:rsidRPr="001213FE" w:rsidRDefault="007E1547" w:rsidP="00421C91">
      <w:pPr>
        <w:tabs>
          <w:tab w:val="left" w:pos="993"/>
          <w:tab w:val="left" w:pos="1134"/>
        </w:tabs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13F03" w:rsidRDefault="00421C91" w:rsidP="001213FE">
      <w:pPr>
        <w:tabs>
          <w:tab w:val="left" w:pos="709"/>
          <w:tab w:val="left" w:pos="1134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F1538"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Таблица 5. Состояние мостовых сооружений на международных и государственных автодорогах</w:t>
      </w:r>
    </w:p>
    <w:p w:rsidR="007E1547" w:rsidRPr="007E1547" w:rsidRDefault="007E1547" w:rsidP="007E1547">
      <w:pPr>
        <w:tabs>
          <w:tab w:val="left" w:pos="993"/>
          <w:tab w:val="left" w:pos="1134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80"/>
        <w:gridCol w:w="907"/>
        <w:gridCol w:w="907"/>
        <w:gridCol w:w="909"/>
        <w:gridCol w:w="914"/>
        <w:gridCol w:w="1029"/>
        <w:gridCol w:w="875"/>
      </w:tblGrid>
      <w:tr w:rsidR="008F1538" w:rsidRPr="007E1547" w:rsidTr="002D5715">
        <w:tc>
          <w:tcPr>
            <w:tcW w:w="127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Значение дорог</w:t>
            </w:r>
          </w:p>
        </w:tc>
        <w:tc>
          <w:tcPr>
            <w:tcW w:w="26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Оценка состояния</w:t>
            </w:r>
          </w:p>
        </w:tc>
        <w:tc>
          <w:tcPr>
            <w:tcW w:w="6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Иссле</w:t>
            </w:r>
            <w:r w:rsidR="000471DF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довано</w:t>
            </w:r>
          </w:p>
        </w:tc>
        <w:tc>
          <w:tcPr>
            <w:tcW w:w="5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Всего мос</w:t>
            </w:r>
            <w:r w:rsidR="000471DF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</w:tr>
      <w:tr w:rsidR="002D5715" w:rsidRPr="007E1547" w:rsidTr="002D5715">
        <w:tc>
          <w:tcPr>
            <w:tcW w:w="1279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Авар.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Кри</w:t>
            </w:r>
            <w:r w:rsidR="00331F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тич.</w:t>
            </w:r>
          </w:p>
        </w:tc>
        <w:tc>
          <w:tcPr>
            <w:tcW w:w="606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5715" w:rsidRPr="007E1547" w:rsidTr="002D5715">
        <w:tc>
          <w:tcPr>
            <w:tcW w:w="1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Международного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451</w:t>
            </w:r>
          </w:p>
        </w:tc>
      </w:tr>
      <w:tr w:rsidR="002D5715" w:rsidRPr="007E1547" w:rsidTr="002D5715">
        <w:tc>
          <w:tcPr>
            <w:tcW w:w="1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</w:t>
            </w:r>
            <w:r w:rsidR="007E1547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y-KG" w:eastAsia="ru-RU"/>
              </w:rPr>
              <w:t>о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473</w:t>
            </w:r>
          </w:p>
        </w:tc>
      </w:tr>
      <w:tr w:rsidR="002D5715" w:rsidRPr="007E1547" w:rsidTr="002D5715">
        <w:tc>
          <w:tcPr>
            <w:tcW w:w="1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924</w:t>
            </w:r>
          </w:p>
        </w:tc>
      </w:tr>
      <w:tr w:rsidR="002D5715" w:rsidRPr="007E1547" w:rsidTr="002D5715">
        <w:tc>
          <w:tcPr>
            <w:tcW w:w="1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D5715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2D5715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D5715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D5715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D5715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93</w:t>
            </w:r>
            <w:r w:rsidR="002D5715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2D5715"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13F03" w:rsidRPr="007E1547" w:rsidRDefault="00C13F03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>5</w:t>
      </w:r>
      <w:r w:rsidRPr="007E15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Динамика загруженности автомобильных дорог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Международные транспортные коридоры несут большую нагрузку, чем другие категории автодорог. По данным анализа интенсивности движения 75 % нагрузки приходится на автотранспортные коридоры, на государственные – примерно 15 % и 10 % – на местные автомобильные дороги, что также должно быть учтено при планировании ремонта и содержания автомобильных дорог.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Объемы автомобильных грузоперевозок постоянно увеличиваются, средний темп роста составляет до 4 %. Доля автомобильного транспорта в общем объеме грузоперевозок выросла с 90 % в 2006 году до 97 % к концу 2015 года.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примера можем привести загруженность транспортных коридоров Бишкек – Нарын – Торугарт и Ош – Сарыташ – Иркештам после улучшения их состояния. Исследование по интенсивности движения по транспортным коридорам не проводилось на постоянной основе. Поэтому для анализа загруженности </w:t>
      </w:r>
      <w:r w:rsidR="000471DF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использованы отчетные данные МТ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 пропуску международных грузов по пунктам пропуска на границе республики.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Таблица 6</w:t>
      </w:r>
      <w:r w:rsidR="002D5715"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Рост интенсивности движения с 2005 по 2015 год</w:t>
      </w:r>
    </w:p>
    <w:p w:rsidR="002D5715" w:rsidRPr="007E1547" w:rsidRDefault="002D5715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37"/>
        <w:gridCol w:w="1783"/>
        <w:gridCol w:w="3690"/>
      </w:tblGrid>
      <w:tr w:rsidR="002D5715" w:rsidRPr="007E1547" w:rsidTr="002D5715"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3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Объем загрузки одного автомобиля</w:t>
            </w:r>
          </w:p>
        </w:tc>
      </w:tr>
      <w:tr w:rsidR="002D5715" w:rsidRPr="007E1547" w:rsidTr="002D57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рейсов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Объем груза, тн.</w:t>
            </w:r>
          </w:p>
        </w:tc>
        <w:tc>
          <w:tcPr>
            <w:tcW w:w="22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15" w:rsidRPr="007E1547" w:rsidTr="002D5715"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29 996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349 638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2D5715" w:rsidRPr="007E1547" w:rsidTr="002D5715"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56 388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747 872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</w:tbl>
    <w:p w:rsidR="008F1538" w:rsidRPr="007E1547" w:rsidRDefault="008F1538" w:rsidP="007E1547">
      <w:pPr>
        <w:tabs>
          <w:tab w:val="left" w:pos="993"/>
          <w:tab w:val="left" w:pos="1134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видно, загруженность основных транспортных коридоров за последние 9 лет увеличилась более чем в два раза. Данная тенденция наблюдается практически на всех международных транспортных коридорах.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>Глава 2. Достижения и проблемы</w:t>
      </w:r>
    </w:p>
    <w:p w:rsidR="00421C91" w:rsidRPr="007E1547" w:rsidRDefault="00421C91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538" w:rsidRPr="007E1547" w:rsidRDefault="008F1538" w:rsidP="007E1547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>Достижения</w:t>
      </w:r>
    </w:p>
    <w:p w:rsidR="00C13F03" w:rsidRPr="007E1547" w:rsidRDefault="00C13F03" w:rsidP="007E1547">
      <w:pPr>
        <w:pStyle w:val="a5"/>
        <w:tabs>
          <w:tab w:val="left" w:pos="993"/>
          <w:tab w:val="left" w:pos="1134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Несмотря на относительно стабильное финансирование дорожной отрасли на протяже</w:t>
      </w:r>
      <w:r w:rsidR="000471DF" w:rsidRPr="007E1547">
        <w:rPr>
          <w:rFonts w:ascii="Times New Roman" w:hAnsi="Times New Roman" w:cs="Times New Roman"/>
          <w:sz w:val="28"/>
          <w:szCs w:val="28"/>
          <w:lang w:eastAsia="ru-RU"/>
        </w:rPr>
        <w:t>нии последних лет на уровне 1,1–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1,2</w:t>
      </w:r>
      <w:r w:rsidR="000471DF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% от объема республиканског</w:t>
      </w:r>
      <w:r w:rsidR="000471DF" w:rsidRPr="007E1547">
        <w:rPr>
          <w:rFonts w:ascii="Times New Roman" w:hAnsi="Times New Roman" w:cs="Times New Roman"/>
          <w:sz w:val="28"/>
          <w:szCs w:val="28"/>
          <w:lang w:eastAsia="ru-RU"/>
        </w:rPr>
        <w:t>о бюджета, основное внимание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за эти годы было направлено на устранение накопившихся физических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объемов повреждений из-за недостаточного производства среднего ремонта за прежние годы, когда объем финансирования дорожной отрасли обеспечивал только затраты на ежедневное содержание автодорог и заработную плату административного персонала. Данная вынужденная политика была оправдана и позволила значительно улучшить состояние автомобильных дорог, особенно международных транспортных коридоров.</w:t>
      </w:r>
    </w:p>
    <w:p w:rsidR="008F1538" w:rsidRPr="007E1547" w:rsidRDefault="000471DF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За 2015–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2020 годы бы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ло реабилитировано порядка 1000</w:t>
      </w:r>
      <w:r w:rsidR="006605EB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км транспортных коридоров, на государственных и местных автомобильных дорогах было уложено 670 км нового асфальтобетонного п</w:t>
      </w:r>
      <w:r w:rsidR="002F034A" w:rsidRPr="007E1547">
        <w:rPr>
          <w:rFonts w:ascii="Times New Roman" w:hAnsi="Times New Roman" w:cs="Times New Roman"/>
          <w:sz w:val="28"/>
          <w:szCs w:val="28"/>
          <w:lang w:eastAsia="ru-RU"/>
        </w:rPr>
        <w:t>окрытия, произведено около 1000</w:t>
      </w:r>
      <w:r w:rsidR="006605EB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км шероховатой поверхностной обработки, построено 29 новых и отремонтировано более 56 существующих мостов.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За период с 201</w:t>
      </w:r>
      <w:r w:rsidR="001213FE">
        <w:rPr>
          <w:rFonts w:ascii="Times New Roman" w:hAnsi="Times New Roman" w:cs="Times New Roman"/>
          <w:sz w:val="28"/>
          <w:szCs w:val="28"/>
          <w:lang w:eastAsia="ru-RU"/>
        </w:rPr>
        <w:t>6 года в реализацию мер ОНРДО-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2016 по изменению законодательства </w:t>
      </w:r>
      <w:r w:rsidRPr="007E1547">
        <w:rPr>
          <w:rFonts w:ascii="Times New Roman" w:hAnsi="Times New Roman" w:cs="Times New Roman"/>
          <w:sz w:val="28"/>
          <w:szCs w:val="28"/>
        </w:rPr>
        <w:t xml:space="preserve">при содействии Азиатского </w:t>
      </w:r>
      <w:r w:rsidR="000471DF" w:rsidRPr="007E1547">
        <w:rPr>
          <w:rFonts w:ascii="Times New Roman" w:hAnsi="Times New Roman" w:cs="Times New Roman"/>
          <w:sz w:val="28"/>
          <w:szCs w:val="28"/>
        </w:rPr>
        <w:t>банка развития (далее – АБР) МТ</w:t>
      </w:r>
      <w:r w:rsidRPr="007E1547">
        <w:rPr>
          <w:rFonts w:ascii="Times New Roman" w:hAnsi="Times New Roman" w:cs="Times New Roman"/>
          <w:sz w:val="28"/>
          <w:szCs w:val="28"/>
        </w:rPr>
        <w:t xml:space="preserve">К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была проведена масштабная работа по разработке и принятию пакета нормативных правовых актов, благодаря которым </w:t>
      </w:r>
      <w:r w:rsidRPr="007E1547">
        <w:rPr>
          <w:rFonts w:ascii="Times New Roman" w:hAnsi="Times New Roman" w:cs="Times New Roman"/>
          <w:sz w:val="28"/>
          <w:szCs w:val="28"/>
        </w:rPr>
        <w:t xml:space="preserve">было разработано и утверждено на различных уровнях принятия решений более 20 нормативных правовых актов, благодаря принятию которых: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установлен порядок включения в стратегические планы проектов строительства и реконструкции автомобильных дорог;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регламентирован порядок проектирования, строительства и реконструкции автомобильных дорог общего пользования;  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установлен порядок формирования и утверждения ежегодного планирования и проведения работ по ремонту и содержанию автомобильных дорог общего пользования;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установлен порядок технического учета автодорог с созданием банка данных;  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введена классификация и нумераци</w:t>
      </w:r>
      <w:r w:rsidR="000471DF" w:rsidRPr="007E1547">
        <w:rPr>
          <w:rFonts w:ascii="Times New Roman" w:hAnsi="Times New Roman" w:cs="Times New Roman"/>
          <w:sz w:val="28"/>
          <w:szCs w:val="28"/>
        </w:rPr>
        <w:t>я</w:t>
      </w:r>
      <w:r w:rsidRPr="007E1547">
        <w:rPr>
          <w:rFonts w:ascii="Times New Roman" w:hAnsi="Times New Roman" w:cs="Times New Roman"/>
          <w:sz w:val="28"/>
          <w:szCs w:val="28"/>
        </w:rPr>
        <w:t xml:space="preserve"> автодорог в соответствии с требованиями технического регламента ЕАЭС;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установлены требования к порядку организации контроля качества работ при строительстве и ремонте автодорог при взаимодействии и ответственности заказчика, подрядчика и инженера-консультанта;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установлены требования к эксплуатационному состоянию автодорог и зимнему содержанию автомобильных дорог;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пересмотрены и перераспределены функции и задачи подведомственных подразделений</w:t>
      </w:r>
      <w:r w:rsidR="000471DF" w:rsidRPr="007E1547">
        <w:rPr>
          <w:rFonts w:ascii="Times New Roman" w:hAnsi="Times New Roman" w:cs="Times New Roman"/>
          <w:sz w:val="28"/>
          <w:szCs w:val="28"/>
        </w:rPr>
        <w:t xml:space="preserve"> МТ</w:t>
      </w:r>
      <w:r w:rsidRPr="007E1547">
        <w:rPr>
          <w:rFonts w:ascii="Times New Roman" w:hAnsi="Times New Roman" w:cs="Times New Roman"/>
          <w:sz w:val="28"/>
          <w:szCs w:val="28"/>
        </w:rPr>
        <w:t xml:space="preserve">К;  </w:t>
      </w:r>
    </w:p>
    <w:p w:rsidR="008F1538" w:rsidRPr="007E1547" w:rsidRDefault="000471DF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создан производственно-</w:t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инновационный центр (далее – ПИЦ), который занимается как поиском передовых практик развития автодорог, так текущими работами по обслуживанию существующих информационных систем;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lastRenderedPageBreak/>
        <w:t xml:space="preserve"> – подготовлен пакет актов в целях гармонизации требований национального законодательства с требованиями права, составляющими законодательство ЕАЭС;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утверждены методические рекомендации по организации движения транспортных средств в местах производства дорожных работ;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стандартные условия подрядных работ, согласно положениям </w:t>
      </w:r>
      <w:r w:rsidR="002525F9" w:rsidRPr="007E1547">
        <w:rPr>
          <w:rFonts w:ascii="Times New Roman" w:hAnsi="Times New Roman" w:cs="Times New Roman"/>
          <w:sz w:val="28"/>
          <w:szCs w:val="28"/>
        </w:rPr>
        <w:t>Международной федерации инженеров-консультантов (</w:t>
      </w:r>
      <w:r w:rsidRPr="007E1547">
        <w:rPr>
          <w:rFonts w:ascii="Times New Roman" w:hAnsi="Times New Roman" w:cs="Times New Roman"/>
          <w:sz w:val="28"/>
          <w:szCs w:val="28"/>
        </w:rPr>
        <w:t>ФИДИК</w:t>
      </w:r>
      <w:r w:rsidR="002525F9" w:rsidRPr="007E1547">
        <w:rPr>
          <w:rFonts w:ascii="Times New Roman" w:hAnsi="Times New Roman" w:cs="Times New Roman"/>
          <w:sz w:val="28"/>
          <w:szCs w:val="28"/>
        </w:rPr>
        <w:t>)</w:t>
      </w:r>
      <w:r w:rsidRPr="007E1547">
        <w:rPr>
          <w:rFonts w:ascii="Times New Roman" w:hAnsi="Times New Roman" w:cs="Times New Roman"/>
          <w:sz w:val="28"/>
          <w:szCs w:val="28"/>
        </w:rPr>
        <w:t xml:space="preserve"> приведены в соответствие с законодательством Кыргызской Республики;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установлен порядок содержания автомобильных дорог общего пользования и дорожных сооружений на основе заключения договора закупки услуг по содержанию автомобильных дорог;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</w:t>
      </w:r>
      <w:r w:rsidR="002525F9" w:rsidRPr="007E1547">
        <w:rPr>
          <w:rFonts w:ascii="Times New Roman" w:hAnsi="Times New Roman" w:cs="Times New Roman"/>
          <w:sz w:val="28"/>
          <w:szCs w:val="28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t xml:space="preserve">установлены единые правила формирования затрат на дорожные работы;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в рамках преобразования системы управлени</w:t>
      </w:r>
      <w:r w:rsidR="002525F9" w:rsidRPr="007E1547">
        <w:rPr>
          <w:rFonts w:ascii="Times New Roman" w:hAnsi="Times New Roman" w:cs="Times New Roman"/>
          <w:sz w:val="28"/>
          <w:szCs w:val="28"/>
        </w:rPr>
        <w:t>я дорожной отрасли в ведении МТ</w:t>
      </w:r>
      <w:r w:rsidRPr="007E1547">
        <w:rPr>
          <w:rFonts w:ascii="Times New Roman" w:hAnsi="Times New Roman" w:cs="Times New Roman"/>
          <w:sz w:val="28"/>
          <w:szCs w:val="28"/>
        </w:rPr>
        <w:t xml:space="preserve">К созданы Дорожный фонд (далее – ДФ) и одно государственное предприятие путем слияния 64 дорожных организаций;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решением Кабинета Министр</w:t>
      </w:r>
      <w:r w:rsidR="006605EB" w:rsidRPr="007E1547">
        <w:rPr>
          <w:rFonts w:ascii="Times New Roman" w:hAnsi="Times New Roman" w:cs="Times New Roman"/>
          <w:sz w:val="28"/>
          <w:szCs w:val="28"/>
        </w:rPr>
        <w:t>ов</w:t>
      </w:r>
      <w:r w:rsidRPr="007E1547">
        <w:rPr>
          <w:rFonts w:ascii="Times New Roman" w:hAnsi="Times New Roman" w:cs="Times New Roman"/>
          <w:sz w:val="28"/>
          <w:szCs w:val="28"/>
        </w:rPr>
        <w:t xml:space="preserve"> Кыргызской Республики утверждено Положение о размере и порядке взимания сборов за проезд по автомобильным дорогам общего пользования с грузового транспорта и автобусов;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приняты акты в целях гармонизации национального законодательства с требованиями ЕСТР в части установления единых правил соблюдения режима труда и отдыха водителей.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Данные акты создали правовое основание для оптимизации и упорядочения деятельности в сфере дорожной отрасли, однако концептуальные меры по оптимизации системы управления отрасли, переходу на рыночные принципы функционирования, поиск новых источников финансирования для развития дорожной отрасли, с использованием передовых цифровых технологий остаются нереализованными и требуют их последовательного претворения в жизнь. Последние меры по преобразованию системы управления позволили увеличить заработную плату сотрудникам дорожной отрасли, а применение успешно работающей схемы взаимодействия сторон на примере международных финансовых институтов в дорожных работах, позволит устранить коррупционные проявления.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1538" w:rsidRDefault="008F1538" w:rsidP="008462DA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</w:p>
    <w:p w:rsidR="008462DA" w:rsidRPr="007E1547" w:rsidRDefault="008462DA" w:rsidP="008462DA">
      <w:pPr>
        <w:pStyle w:val="a5"/>
        <w:tabs>
          <w:tab w:val="left" w:pos="993"/>
          <w:tab w:val="left" w:pos="1134"/>
        </w:tabs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8F1538" w:rsidRPr="007E1547" w:rsidRDefault="00446962" w:rsidP="001213FE">
      <w:pPr>
        <w:pStyle w:val="a5"/>
        <w:tabs>
          <w:tab w:val="left" w:pos="709"/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ab/>
      </w:r>
      <w:r w:rsidR="008F1538" w:rsidRPr="007E1547">
        <w:rPr>
          <w:rFonts w:ascii="Times New Roman" w:hAnsi="Times New Roman" w:cs="Times New Roman"/>
          <w:sz w:val="28"/>
          <w:szCs w:val="28"/>
        </w:rPr>
        <w:t>Практика финансирования</w:t>
      </w:r>
      <w:r w:rsidR="002525F9" w:rsidRPr="007E1547">
        <w:rPr>
          <w:rFonts w:ascii="Times New Roman" w:hAnsi="Times New Roman" w:cs="Times New Roman"/>
          <w:sz w:val="28"/>
          <w:szCs w:val="28"/>
        </w:rPr>
        <w:t xml:space="preserve"> дорожной отрасли в пределах 25–</w:t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30 </w:t>
      </w:r>
      <w:r w:rsidR="002525F9" w:rsidRPr="007E1547">
        <w:rPr>
          <w:rFonts w:ascii="Times New Roman" w:hAnsi="Times New Roman" w:cs="Times New Roman"/>
          <w:sz w:val="28"/>
          <w:szCs w:val="28"/>
        </w:rPr>
        <w:t>%</w:t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 от общей потребности продолжается и по сей день.</w:t>
      </w:r>
    </w:p>
    <w:p w:rsidR="008F1538" w:rsidRPr="007E1547" w:rsidRDefault="002525F9" w:rsidP="007E1547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2007–</w:t>
      </w:r>
      <w:r w:rsidR="008F1538"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годах объемы финансирования позволяли производить ежегодные плановые дорожные работы и устранять часть </w:t>
      </w:r>
      <w:r w:rsidR="008F1538"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накопленных физических объемов прежних лет, но с 2011 года после резкого повышения цен на ГСМ и дорожный битум (в среднем на 38 %) объемы финансирования позволяли выполнять только основную часть плановых дорожных работ. Из-за последних изменений курса обмена валют объем финансирования сократился еще больше.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С 2011 по 2019 годы объем финансирования находится на уровне 1,7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2,0 млрд сомов (около 30,0 млн долларов США). Относительно республиканского бюджета сре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>дства выделяются в пределах 1,5–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="002F034A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2017 по 2019 годы характеризуются увеличением средств из бюджета на содержание дорог, при уменьшении их доли в общем объеме государственного бюджета.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Кабинет Министров К</w:t>
      </w:r>
      <w:r w:rsidRPr="007E1547">
        <w:rPr>
          <w:rFonts w:ascii="Times New Roman" w:hAnsi="Times New Roman" w:cs="Times New Roman"/>
          <w:sz w:val="28"/>
          <w:szCs w:val="28"/>
          <w:lang w:val="ky-KG"/>
        </w:rPr>
        <w:t xml:space="preserve">ыргызской </w:t>
      </w:r>
      <w:r w:rsidRPr="007E1547">
        <w:rPr>
          <w:rFonts w:ascii="Times New Roman" w:hAnsi="Times New Roman" w:cs="Times New Roman"/>
          <w:sz w:val="28"/>
          <w:szCs w:val="28"/>
        </w:rPr>
        <w:t>Республики</w:t>
      </w:r>
      <w:r w:rsidRPr="007E15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t>ежегодно придерживается политики уд</w:t>
      </w:r>
      <w:r w:rsidR="002525F9" w:rsidRPr="007E1547">
        <w:rPr>
          <w:rFonts w:ascii="Times New Roman" w:hAnsi="Times New Roman" w:cs="Times New Roman"/>
          <w:sz w:val="28"/>
          <w:szCs w:val="28"/>
        </w:rPr>
        <w:t>ерживания инфляции в пределах 5–</w:t>
      </w:r>
      <w:r w:rsidRPr="007E1547">
        <w:rPr>
          <w:rFonts w:ascii="Times New Roman" w:hAnsi="Times New Roman" w:cs="Times New Roman"/>
          <w:sz w:val="28"/>
          <w:szCs w:val="28"/>
        </w:rPr>
        <w:t xml:space="preserve">7 </w:t>
      </w:r>
      <w:r w:rsidR="002525F9" w:rsidRPr="007E1547">
        <w:rPr>
          <w:rFonts w:ascii="Times New Roman" w:hAnsi="Times New Roman" w:cs="Times New Roman"/>
          <w:sz w:val="28"/>
          <w:szCs w:val="28"/>
        </w:rPr>
        <w:t>%</w:t>
      </w:r>
      <w:r w:rsidRPr="007E1547">
        <w:rPr>
          <w:rFonts w:ascii="Times New Roman" w:hAnsi="Times New Roman" w:cs="Times New Roman"/>
          <w:sz w:val="28"/>
          <w:szCs w:val="28"/>
        </w:rPr>
        <w:t>. В этих условиях финансирование автомобильных дорог общего пользования для его содержания, в частности за последние 5 лет, является относительно стабильным, с учетом ориентирования республиканского бюджета на социальные выплаты и привлечение внешнего финансирования на ст</w:t>
      </w:r>
      <w:r w:rsidR="002525F9" w:rsidRPr="007E1547">
        <w:rPr>
          <w:rFonts w:ascii="Times New Roman" w:hAnsi="Times New Roman" w:cs="Times New Roman"/>
          <w:sz w:val="28"/>
          <w:szCs w:val="28"/>
        </w:rPr>
        <w:t>роительство дорог в пределах 35–</w:t>
      </w:r>
      <w:r w:rsidRPr="007E1547">
        <w:rPr>
          <w:rFonts w:ascii="Times New Roman" w:hAnsi="Times New Roman" w:cs="Times New Roman"/>
          <w:sz w:val="28"/>
          <w:szCs w:val="28"/>
        </w:rPr>
        <w:t xml:space="preserve">40 </w:t>
      </w:r>
      <w:r w:rsidR="002525F9" w:rsidRPr="007E1547">
        <w:rPr>
          <w:rFonts w:ascii="Times New Roman" w:hAnsi="Times New Roman" w:cs="Times New Roman"/>
          <w:sz w:val="28"/>
          <w:szCs w:val="28"/>
        </w:rPr>
        <w:t>%</w:t>
      </w:r>
      <w:r w:rsidRPr="007E1547">
        <w:rPr>
          <w:rFonts w:ascii="Times New Roman" w:hAnsi="Times New Roman" w:cs="Times New Roman"/>
          <w:sz w:val="28"/>
          <w:szCs w:val="28"/>
        </w:rPr>
        <w:t xml:space="preserve"> от общего объема внешних инвестиций. При этом следует отметить, что хроническая нехватка денежных средств из бюджета является следствием неэффективного планирования и использования </w:t>
      </w:r>
      <w:r w:rsidR="00F0642C" w:rsidRPr="007E1547">
        <w:rPr>
          <w:rFonts w:ascii="Times New Roman" w:hAnsi="Times New Roman" w:cs="Times New Roman"/>
          <w:sz w:val="28"/>
          <w:szCs w:val="28"/>
        </w:rPr>
        <w:t>средств,</w:t>
      </w:r>
      <w:r w:rsidRPr="007E1547">
        <w:rPr>
          <w:rFonts w:ascii="Times New Roman" w:hAnsi="Times New Roman" w:cs="Times New Roman"/>
          <w:sz w:val="28"/>
          <w:szCs w:val="28"/>
        </w:rPr>
        <w:t xml:space="preserve"> выделяемых на дорожные работы.  </w:t>
      </w:r>
    </w:p>
    <w:p w:rsidR="008F1538" w:rsidRPr="007E1547" w:rsidRDefault="008F1538" w:rsidP="007E1547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t>На</w:t>
      </w:r>
      <w:r w:rsidRPr="007E1547">
        <w:rPr>
          <w:rFonts w:ascii="Times New Roman" w:eastAsia="Calibri" w:hAnsi="Times New Roman" w:cs="Times New Roman"/>
          <w:sz w:val="28"/>
          <w:szCs w:val="28"/>
        </w:rPr>
        <w:t xml:space="preserve"> сферу транспорта и дорог приходится наибольший удельный вес всех поступающих инвестиций.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1547">
        <w:rPr>
          <w:rFonts w:ascii="Times New Roman" w:hAnsi="Times New Roman" w:cs="Times New Roman"/>
          <w:b/>
          <w:sz w:val="28"/>
          <w:szCs w:val="28"/>
        </w:rPr>
        <w:t>Таблица 7. Распределение инвестиций по секторам (млн сом</w:t>
      </w:r>
      <w:r w:rsidR="002525F9" w:rsidRPr="007E1547">
        <w:rPr>
          <w:rFonts w:ascii="Times New Roman" w:hAnsi="Times New Roman" w:cs="Times New Roman"/>
          <w:b/>
          <w:sz w:val="28"/>
          <w:szCs w:val="28"/>
        </w:rPr>
        <w:t>ов</w:t>
      </w:r>
      <w:r w:rsidRPr="007E1547">
        <w:rPr>
          <w:rFonts w:ascii="Times New Roman" w:hAnsi="Times New Roman" w:cs="Times New Roman"/>
          <w:b/>
          <w:sz w:val="28"/>
          <w:szCs w:val="28"/>
        </w:rPr>
        <w:t>)</w:t>
      </w:r>
    </w:p>
    <w:p w:rsidR="002525F9" w:rsidRPr="007E1547" w:rsidRDefault="002525F9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1134"/>
        <w:gridCol w:w="1134"/>
        <w:gridCol w:w="1134"/>
        <w:gridCol w:w="1134"/>
        <w:gridCol w:w="1134"/>
      </w:tblGrid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3997,8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F1538" w:rsidRPr="007E1547" w:rsidRDefault="00921FE4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1538" w:rsidRPr="007E1547" w:rsidRDefault="00921FE4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7745,9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10221,8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15543,7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1FE4">
              <w:rPr>
                <w:rFonts w:ascii="Times New Roman" w:hAnsi="Times New Roman" w:cs="Times New Roman"/>
                <w:sz w:val="24"/>
                <w:szCs w:val="24"/>
              </w:rPr>
              <w:t>374,</w:t>
            </w: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16494,3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13942,9</w:t>
            </w:r>
          </w:p>
        </w:tc>
      </w:tr>
      <w:tr w:rsidR="008F1538" w:rsidRPr="007E1547" w:rsidTr="007669F8">
        <w:trPr>
          <w:trHeight w:val="414"/>
        </w:trPr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10411,7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10537,7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988,1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917,7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921FE4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Здравоохра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961,7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1418,9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451,5</w:t>
            </w:r>
          </w:p>
        </w:tc>
        <w:tc>
          <w:tcPr>
            <w:tcW w:w="1134" w:type="dxa"/>
          </w:tcPr>
          <w:p w:rsidR="008F1538" w:rsidRPr="007E1547" w:rsidRDefault="008F1538" w:rsidP="00921FE4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555,71</w:t>
            </w:r>
          </w:p>
        </w:tc>
        <w:tc>
          <w:tcPr>
            <w:tcW w:w="1134" w:type="dxa"/>
          </w:tcPr>
          <w:p w:rsidR="008F1538" w:rsidRPr="007E1547" w:rsidRDefault="008F1538" w:rsidP="00921FE4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676,81</w:t>
            </w:r>
          </w:p>
        </w:tc>
        <w:tc>
          <w:tcPr>
            <w:tcW w:w="1134" w:type="dxa"/>
          </w:tcPr>
          <w:p w:rsidR="008F1538" w:rsidRPr="007E1547" w:rsidRDefault="007669F8" w:rsidP="00921FE4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584,8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Госуправле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-ние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782,2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716,0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427,8</w:t>
            </w:r>
          </w:p>
        </w:tc>
        <w:tc>
          <w:tcPr>
            <w:tcW w:w="1134" w:type="dxa"/>
          </w:tcPr>
          <w:p w:rsidR="008F1538" w:rsidRPr="007E1547" w:rsidRDefault="00921FE4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Инфраструк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-ту</w:t>
            </w: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1485,4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5177,2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5942,9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4805,3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858,9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999,7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328, 2</w:t>
            </w:r>
          </w:p>
        </w:tc>
      </w:tr>
      <w:tr w:rsidR="008F1538" w:rsidRPr="007E1547" w:rsidTr="007669F8">
        <w:tc>
          <w:tcPr>
            <w:tcW w:w="1588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19388,8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24171,3</w:t>
            </w:r>
          </w:p>
        </w:tc>
        <w:tc>
          <w:tcPr>
            <w:tcW w:w="1134" w:type="dxa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39042,1</w:t>
            </w:r>
          </w:p>
        </w:tc>
        <w:tc>
          <w:tcPr>
            <w:tcW w:w="1134" w:type="dxa"/>
          </w:tcPr>
          <w:p w:rsidR="008F1538" w:rsidRPr="007E1547" w:rsidRDefault="00921FE4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21FE4">
              <w:rPr>
                <w:rFonts w:ascii="Times New Roman" w:hAnsi="Times New Roman" w:cs="Times New Roman"/>
                <w:sz w:val="24"/>
                <w:szCs w:val="24"/>
              </w:rPr>
              <w:t>026,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1538" w:rsidRPr="007E1547" w:rsidRDefault="007669F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F1538" w:rsidRPr="007E1547"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</w:tbl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1547">
        <w:rPr>
          <w:rFonts w:ascii="Times New Roman" w:eastAsia="Calibri" w:hAnsi="Times New Roman" w:cs="Times New Roman"/>
          <w:sz w:val="28"/>
          <w:szCs w:val="28"/>
        </w:rPr>
        <w:tab/>
      </w:r>
    </w:p>
    <w:p w:rsidR="007669F8" w:rsidRDefault="007669F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lastRenderedPageBreak/>
        <w:t>На реабилитацию автомобильных дорог международного значения с 1996 года по 2020</w:t>
      </w:r>
      <w:r w:rsidRPr="007E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t xml:space="preserve">годы было привлечено средств международных доноров в объеме 2531,16 млн долларов США и реабилитировано 2043 км участков международных автотранспортных коридоров. Общая протяженность охваченных проектами по восстановлению международных транспортных коридоров составляет 900,6 км, в том числе на 526 км непосредственно ведутся строительные работы. В основном средства доноров направляются на реабилитацию транспортных коридоров, согласованных в рамках </w:t>
      </w:r>
      <w:r w:rsidR="002525F9" w:rsidRPr="007E1547">
        <w:rPr>
          <w:rFonts w:ascii="Times New Roman" w:hAnsi="Times New Roman" w:cs="Times New Roman"/>
          <w:sz w:val="28"/>
          <w:szCs w:val="28"/>
        </w:rPr>
        <w:t>программы Центральноазиатского регионального экономического сотрудничества (</w:t>
      </w:r>
      <w:r w:rsidRPr="007E1547">
        <w:rPr>
          <w:rFonts w:ascii="Times New Roman" w:hAnsi="Times New Roman" w:cs="Times New Roman"/>
          <w:sz w:val="28"/>
          <w:szCs w:val="28"/>
        </w:rPr>
        <w:t>ЦАРЭС</w:t>
      </w:r>
      <w:r w:rsidR="002525F9" w:rsidRPr="007E1547">
        <w:rPr>
          <w:rFonts w:ascii="Times New Roman" w:hAnsi="Times New Roman" w:cs="Times New Roman"/>
          <w:sz w:val="28"/>
          <w:szCs w:val="28"/>
        </w:rPr>
        <w:t>)</w:t>
      </w:r>
      <w:r w:rsidRPr="007E1547">
        <w:rPr>
          <w:rFonts w:ascii="Times New Roman" w:hAnsi="Times New Roman" w:cs="Times New Roman"/>
          <w:sz w:val="28"/>
          <w:szCs w:val="28"/>
        </w:rPr>
        <w:t>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Улучшение сети автодорог, в частности местных, потребует дополнительных бюджетных усилий в размере не менее 30 миллионов долларов США в год.</w:t>
      </w:r>
    </w:p>
    <w:p w:rsidR="008F1538" w:rsidRPr="007E1547" w:rsidRDefault="008F1538" w:rsidP="007E1547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t xml:space="preserve">Объемы дорожных работ в натуральных показателях с </w:t>
      </w:r>
      <w:r w:rsidR="00FB07B5" w:rsidRPr="00FB07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547">
        <w:rPr>
          <w:rFonts w:ascii="Times New Roman" w:hAnsi="Times New Roman" w:cs="Times New Roman"/>
          <w:sz w:val="28"/>
          <w:szCs w:val="28"/>
        </w:rPr>
        <w:t xml:space="preserve">2012 года ежегодно увеличивались в среднем на 20 %, в то время как объемы финансирования ежегодно увеличивались в среднем от 5 до </w:t>
      </w:r>
      <w:r w:rsidR="007669F8">
        <w:rPr>
          <w:rFonts w:ascii="Times New Roman" w:hAnsi="Times New Roman" w:cs="Times New Roman"/>
          <w:sz w:val="28"/>
          <w:szCs w:val="28"/>
        </w:rPr>
        <w:br/>
      </w:r>
      <w:r w:rsidRPr="007E1547">
        <w:rPr>
          <w:rFonts w:ascii="Times New Roman" w:hAnsi="Times New Roman" w:cs="Times New Roman"/>
          <w:sz w:val="28"/>
          <w:szCs w:val="28"/>
        </w:rPr>
        <w:t>15 %. Наблюдается значительное уменьшение объемов (около 17 %) работ в 2011 году вследствие сокращения объемов выделяемых финансовых средств на ремонт и содержание дорог по сравнению с 2010 годом на 30 % (на 387,2 млн сомов).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Необходимо отметить, что по таким видам р</w:t>
      </w:r>
      <w:r w:rsidR="002525F9" w:rsidRPr="007E1547">
        <w:rPr>
          <w:rFonts w:ascii="Times New Roman" w:hAnsi="Times New Roman" w:cs="Times New Roman"/>
          <w:sz w:val="28"/>
          <w:szCs w:val="28"/>
        </w:rPr>
        <w:t>абот, как устройство шероховато</w:t>
      </w:r>
      <w:r w:rsidR="002F034A" w:rsidRPr="007E1547">
        <w:rPr>
          <w:rFonts w:ascii="Times New Roman" w:hAnsi="Times New Roman" w:cs="Times New Roman"/>
          <w:sz w:val="28"/>
          <w:szCs w:val="28"/>
        </w:rPr>
        <w:t>-</w:t>
      </w:r>
      <w:r w:rsidRPr="007E1547">
        <w:rPr>
          <w:rFonts w:ascii="Times New Roman" w:hAnsi="Times New Roman" w:cs="Times New Roman"/>
          <w:sz w:val="28"/>
          <w:szCs w:val="28"/>
        </w:rPr>
        <w:t xml:space="preserve">поверхностной обработки (далее – ШПО), ежегодное увеличение объемов составляло от 40 до 50 %, но в 2015 году показатель снизился на 18 %, в то время как по рутинным работам, таким как ремонт мостов и текущий ремонт асфальтобетонных покрытий, наблюдается ежегодное снижение в среднем до 10 %, тогда как ежегодное неполное осуществление работ по данным видам ремонта в будущем приводит к незапланированному увеличению работ по </w:t>
      </w:r>
      <w:r w:rsidR="00C13F03" w:rsidRPr="007E1547">
        <w:rPr>
          <w:rFonts w:ascii="Times New Roman" w:hAnsi="Times New Roman" w:cs="Times New Roman"/>
          <w:sz w:val="28"/>
          <w:szCs w:val="28"/>
        </w:rPr>
        <w:t>капитальному и среднему ремонту</w:t>
      </w:r>
      <w:r w:rsidRPr="007E1547">
        <w:rPr>
          <w:rFonts w:ascii="Times New Roman" w:hAnsi="Times New Roman" w:cs="Times New Roman"/>
          <w:sz w:val="28"/>
          <w:szCs w:val="28"/>
        </w:rPr>
        <w:t xml:space="preserve">. Целесообразно пересмотреть данную политику. Такая же политика прослеживается и в 2017 году, когда работы по устройству ШПО снизились на 22 % от 2015 года, при увеличении ямочного ремонта на 5 %. </w:t>
      </w:r>
    </w:p>
    <w:p w:rsidR="008F1538" w:rsidRPr="007E1547" w:rsidRDefault="002525F9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При этом, по итогам 2016–</w:t>
      </w:r>
      <w:r w:rsidR="008F1538" w:rsidRPr="007E1547">
        <w:rPr>
          <w:rFonts w:ascii="Times New Roman" w:hAnsi="Times New Roman" w:cs="Times New Roman"/>
          <w:sz w:val="28"/>
          <w:szCs w:val="28"/>
        </w:rPr>
        <w:t>2020 годов наблюдается увеличение объема работ по устройствам асфальтобетонного покрытия, черногравийного покрытия, остальные показатели в среднем на прежнем уровне.</w:t>
      </w:r>
    </w:p>
    <w:p w:rsidR="008F1538" w:rsidRPr="007E1547" w:rsidRDefault="008F1538" w:rsidP="00FB07B5">
      <w:pPr>
        <w:tabs>
          <w:tab w:val="left" w:pos="993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Таблица 8. Объем работ по ремонту и содержанию дорог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1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787"/>
        <w:gridCol w:w="792"/>
        <w:gridCol w:w="849"/>
        <w:gridCol w:w="591"/>
        <w:gridCol w:w="655"/>
        <w:gridCol w:w="1016"/>
      </w:tblGrid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ремонта</w:t>
            </w:r>
          </w:p>
        </w:tc>
        <w:tc>
          <w:tcPr>
            <w:tcW w:w="471" w:type="pct"/>
            <w:shd w:val="clear" w:color="auto" w:fill="FFFFFF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74" w:type="pct"/>
            <w:shd w:val="clear" w:color="auto" w:fill="FFFFFF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8" w:type="pct"/>
            <w:shd w:val="clear" w:color="auto" w:fill="FFFFFF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" w:type="pct"/>
            <w:shd w:val="clear" w:color="auto" w:fill="FFFFFF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2" w:type="pct"/>
            <w:shd w:val="clear" w:color="auto" w:fill="FFFFFF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08" w:type="pct"/>
            <w:shd w:val="clear" w:color="auto" w:fill="FFFFFF"/>
          </w:tcPr>
          <w:p w:rsidR="008F1538" w:rsidRPr="007E1547" w:rsidRDefault="008F1538" w:rsidP="003B121F">
            <w:pPr>
              <w:tabs>
                <w:tab w:val="left" w:pos="993"/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Всего за 2016 –2020</w:t>
            </w:r>
          </w:p>
        </w:tc>
      </w:tr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а/б покрытия (км)</w:t>
            </w:r>
          </w:p>
        </w:tc>
        <w:tc>
          <w:tcPr>
            <w:tcW w:w="471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47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129,6</w:t>
            </w:r>
          </w:p>
        </w:tc>
        <w:tc>
          <w:tcPr>
            <w:tcW w:w="508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251,3</w:t>
            </w:r>
          </w:p>
        </w:tc>
        <w:tc>
          <w:tcPr>
            <w:tcW w:w="35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336</w:t>
            </w:r>
          </w:p>
        </w:tc>
        <w:tc>
          <w:tcPr>
            <w:tcW w:w="392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206,7</w:t>
            </w:r>
          </w:p>
        </w:tc>
        <w:tc>
          <w:tcPr>
            <w:tcW w:w="608" w:type="pct"/>
            <w:shd w:val="clear" w:color="000000" w:fill="auto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1066,1</w:t>
            </w:r>
          </w:p>
        </w:tc>
      </w:tr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ч/грав. покрытия (км)</w:t>
            </w:r>
          </w:p>
        </w:tc>
        <w:tc>
          <w:tcPr>
            <w:tcW w:w="471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9,7</w:t>
            </w:r>
          </w:p>
        </w:tc>
        <w:tc>
          <w:tcPr>
            <w:tcW w:w="47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25,0</w:t>
            </w:r>
          </w:p>
        </w:tc>
        <w:tc>
          <w:tcPr>
            <w:tcW w:w="508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5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21,7</w:t>
            </w:r>
          </w:p>
        </w:tc>
        <w:tc>
          <w:tcPr>
            <w:tcW w:w="392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shd w:val="clear" w:color="000000" w:fill="auto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79,4</w:t>
            </w:r>
          </w:p>
        </w:tc>
      </w:tr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Устройство ШПО (км)</w:t>
            </w:r>
          </w:p>
        </w:tc>
        <w:tc>
          <w:tcPr>
            <w:tcW w:w="471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7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144,9</w:t>
            </w:r>
          </w:p>
        </w:tc>
        <w:tc>
          <w:tcPr>
            <w:tcW w:w="508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131</w:t>
            </w:r>
          </w:p>
        </w:tc>
        <w:tc>
          <w:tcPr>
            <w:tcW w:w="35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197,5</w:t>
            </w:r>
          </w:p>
        </w:tc>
        <w:tc>
          <w:tcPr>
            <w:tcW w:w="392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shd w:val="clear" w:color="000000" w:fill="auto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658,9</w:t>
            </w:r>
          </w:p>
        </w:tc>
      </w:tr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669F8">
            <w:pPr>
              <w:tabs>
                <w:tab w:val="left" w:pos="993"/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грав</w:t>
            </w:r>
            <w:r w:rsidR="007669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покрытия (км)</w:t>
            </w:r>
          </w:p>
        </w:tc>
        <w:tc>
          <w:tcPr>
            <w:tcW w:w="471" w:type="pct"/>
            <w:shd w:val="clear" w:color="000000" w:fill="auto"/>
            <w:vAlign w:val="center"/>
          </w:tcPr>
          <w:p w:rsidR="008F1538" w:rsidRPr="007E1547" w:rsidRDefault="008F1538" w:rsidP="007669F8">
            <w:pPr>
              <w:tabs>
                <w:tab w:val="left" w:pos="993"/>
                <w:tab w:val="left" w:pos="1134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97,2</w:t>
            </w:r>
          </w:p>
        </w:tc>
        <w:tc>
          <w:tcPr>
            <w:tcW w:w="474" w:type="pct"/>
            <w:shd w:val="clear" w:color="000000" w:fill="auto"/>
            <w:vAlign w:val="center"/>
          </w:tcPr>
          <w:p w:rsidR="008F1538" w:rsidRPr="007E1547" w:rsidRDefault="008F1538" w:rsidP="007669F8">
            <w:pPr>
              <w:tabs>
                <w:tab w:val="left" w:pos="993"/>
                <w:tab w:val="left" w:pos="1134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96,8</w:t>
            </w:r>
          </w:p>
        </w:tc>
        <w:tc>
          <w:tcPr>
            <w:tcW w:w="508" w:type="pct"/>
            <w:shd w:val="clear" w:color="000000" w:fill="auto"/>
            <w:vAlign w:val="center"/>
          </w:tcPr>
          <w:p w:rsidR="008F1538" w:rsidRPr="007E1547" w:rsidRDefault="008F1538" w:rsidP="007669F8">
            <w:pPr>
              <w:tabs>
                <w:tab w:val="left" w:pos="993"/>
                <w:tab w:val="left" w:pos="1134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97,6</w:t>
            </w:r>
          </w:p>
        </w:tc>
        <w:tc>
          <w:tcPr>
            <w:tcW w:w="354" w:type="pct"/>
            <w:shd w:val="clear" w:color="000000" w:fill="auto"/>
            <w:vAlign w:val="center"/>
          </w:tcPr>
          <w:p w:rsidR="008F1538" w:rsidRPr="007E1547" w:rsidRDefault="008F1538" w:rsidP="007669F8">
            <w:pPr>
              <w:tabs>
                <w:tab w:val="left" w:pos="993"/>
                <w:tab w:val="left" w:pos="1134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115,7</w:t>
            </w:r>
          </w:p>
        </w:tc>
        <w:tc>
          <w:tcPr>
            <w:tcW w:w="392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shd w:val="clear" w:color="000000" w:fill="auto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407,3</w:t>
            </w:r>
          </w:p>
        </w:tc>
      </w:tr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мостов (шт./п.м)</w:t>
            </w:r>
          </w:p>
        </w:tc>
        <w:tc>
          <w:tcPr>
            <w:tcW w:w="471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7669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6/70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7/205,2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1/48</w:t>
            </w:r>
          </w:p>
        </w:tc>
        <w:tc>
          <w:tcPr>
            <w:tcW w:w="608" w:type="pct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20/392,2</w:t>
            </w:r>
          </w:p>
        </w:tc>
      </w:tr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>Ремонт мостов (шт./п.м)</w:t>
            </w:r>
          </w:p>
        </w:tc>
        <w:tc>
          <w:tcPr>
            <w:tcW w:w="471" w:type="pct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Pr="007669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13/259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27/429</w:t>
            </w:r>
          </w:p>
        </w:tc>
      </w:tr>
      <w:tr w:rsidR="008F1538" w:rsidRPr="007E1547" w:rsidTr="00417842">
        <w:trPr>
          <w:jc w:val="right"/>
        </w:trPr>
        <w:tc>
          <w:tcPr>
            <w:tcW w:w="21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>Ямочный ремонт (тыс. м</w:t>
            </w:r>
            <w:r w:rsidRPr="007E15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E154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  <w:r w:rsidRPr="007E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47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250,0</w:t>
            </w:r>
          </w:p>
        </w:tc>
        <w:tc>
          <w:tcPr>
            <w:tcW w:w="508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4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190,0</w:t>
            </w:r>
          </w:p>
        </w:tc>
        <w:tc>
          <w:tcPr>
            <w:tcW w:w="392" w:type="pct"/>
            <w:shd w:val="clear" w:color="000000" w:fill="auto"/>
            <w:vAlign w:val="center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84,8</w:t>
            </w:r>
          </w:p>
        </w:tc>
        <w:tc>
          <w:tcPr>
            <w:tcW w:w="608" w:type="pct"/>
            <w:shd w:val="clear" w:color="000000" w:fill="auto"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764,8</w:t>
            </w:r>
          </w:p>
        </w:tc>
      </w:tr>
    </w:tbl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Анализ и сравнение объемов работ и финансирования показывает, что значительный объем средств уходит на улучшение/ расширение/реконструкцию дорог, состояние которых ухудшается ускоренными темпами, приводя к тому, что объем средств, необходимых для их поддержания увеличивается. Следовательно, необходимо повысить/пересмотреть эффективность дорожного сектора и институционального устройства.</w:t>
      </w:r>
    </w:p>
    <w:p w:rsidR="008F1538" w:rsidRPr="007E1547" w:rsidRDefault="008F1538" w:rsidP="007E1547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По сравнению с 2015 годом на конец 2020 года оснащенность дорожных подразделений дорожной техникой и оборудованием увеличилась с 44,7 % до 47 % и если в 2015 году данный показатель в сравнении с 2005 годом был увеличен на 20 %, то на текущую дату динамика составляет чуть более 2 %.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В рамках реализации Соглашения о техническом сотрудничестве между правительствами Кыргызской Республики и Японии, в период с 2007 по 2018 годы Правительством Японии было выделено 4 гранта и было предоставлено 565 единиц дорожно-строительной техники и оборудования, в том числе 7 комплектов асфальтобетонных заводов (АБЗ) и камнедробильных установок (КДУ). В результате их использования существенно улучшен потенциал содержания и обслуживания дорог </w:t>
      </w:r>
      <w:r w:rsidR="00231CE0" w:rsidRPr="007E1547">
        <w:rPr>
          <w:rFonts w:ascii="Times New Roman" w:hAnsi="Times New Roman" w:cs="Times New Roman"/>
          <w:sz w:val="28"/>
          <w:szCs w:val="28"/>
        </w:rPr>
        <w:t>в Чуйской</w:t>
      </w:r>
      <w:r w:rsidRPr="007E1547">
        <w:rPr>
          <w:rFonts w:ascii="Times New Roman" w:hAnsi="Times New Roman" w:cs="Times New Roman"/>
          <w:sz w:val="28"/>
          <w:szCs w:val="28"/>
        </w:rPr>
        <w:t>, Нарынской, Иссык-Кульской, Таласской, Ошской и Джалал-Абадской областях.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2018 году в рамках Соглашения о техническом сотрудничестве между правительствами Кыргызской Республики и Японии получено </w:t>
      </w:r>
      <w:r w:rsidR="00C13F03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единиц передвижных автомастерских, которые используются при ремонте и техническом обслуживании дорожной техники, поставке ГСМ, запасных частей и других материалов. Практика показала высокую эффективность применения передвижных автомастерских.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базе имеющихся ремонтных мастерских дорожных организаций организованы цеха, которые диагностируют автодорожную технику, проводят шино-монтажные работы, мелкосрочный ремонт, сварочные и слесарные работы, техническое обслуживание и ремонт узлов и агрегатов.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Данные цеха и производственные участки внесли большую помощь по организации технического обслуживания и ремонта техники, существенно усилили производственный потенциал и улучшили ремонтную базу дорожных учреждений.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669F8" w:rsidRDefault="007669F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Таблица 9. </w:t>
      </w:r>
      <w:r w:rsidRPr="007E1547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>Количество техники и оборудования (по состоянию на 2020</w:t>
      </w:r>
      <w:r w:rsidRPr="007E1547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val="en-US" w:eastAsia="ru-RU"/>
        </w:rPr>
        <w:t> </w:t>
      </w:r>
      <w:r w:rsidRPr="007E1547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>г</w:t>
      </w:r>
      <w:r w:rsidR="006605EB" w:rsidRPr="007E1547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>од</w:t>
      </w:r>
      <w:r w:rsidRPr="007E1547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>)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500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63"/>
        <w:gridCol w:w="1276"/>
        <w:gridCol w:w="1275"/>
      </w:tblGrid>
      <w:tr w:rsidR="002D5715" w:rsidRPr="007E1547" w:rsidTr="007B7599">
        <w:trPr>
          <w:trHeight w:val="405"/>
        </w:trPr>
        <w:tc>
          <w:tcPr>
            <w:tcW w:w="3794" w:type="dxa"/>
            <w:vMerge w:val="restart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 дорожно-строительной техники и оборудования</w:t>
            </w:r>
          </w:p>
        </w:tc>
        <w:tc>
          <w:tcPr>
            <w:tcW w:w="992" w:type="dxa"/>
            <w:vMerge w:val="restart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Ед. и</w:t>
            </w: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зм.</w:t>
            </w:r>
          </w:p>
        </w:tc>
        <w:tc>
          <w:tcPr>
            <w:tcW w:w="2439" w:type="dxa"/>
            <w:gridSpan w:val="2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 w:val="restart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</w:t>
            </w:r>
            <w:r w:rsidR="002525F9" w:rsidRPr="007E15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7E15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ность %</w:t>
            </w:r>
          </w:p>
        </w:tc>
      </w:tr>
      <w:tr w:rsidR="002D5715" w:rsidRPr="007E1547" w:rsidTr="007B7599">
        <w:trPr>
          <w:trHeight w:val="397"/>
        </w:trPr>
        <w:tc>
          <w:tcPr>
            <w:tcW w:w="3794" w:type="dxa"/>
            <w:vMerge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В наличии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DE315A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Потреб</w:t>
            </w:r>
            <w:r w:rsidR="006605EB" w:rsidRPr="007E15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7E15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1275" w:type="dxa"/>
            <w:vMerge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715" w:rsidRPr="007E1547" w:rsidTr="007B7599">
        <w:trPr>
          <w:trHeight w:val="282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D5715" w:rsidRPr="007E1547" w:rsidTr="007B7599">
        <w:trPr>
          <w:trHeight w:val="253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Автосамосвалы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715" w:rsidRPr="007E1547" w:rsidTr="007B7599">
        <w:trPr>
          <w:trHeight w:val="258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Автоманипуляторы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D5715" w:rsidRPr="007E1547" w:rsidTr="007B7599">
        <w:trPr>
          <w:trHeight w:val="375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Автомашины для перевозки рабочих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5715" w:rsidRPr="007E1547" w:rsidTr="007B7599">
        <w:trPr>
          <w:trHeight w:val="255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Автогрейдер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5715" w:rsidRPr="007E1547" w:rsidTr="007B7599">
        <w:trPr>
          <w:trHeight w:val="246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D5715" w:rsidRPr="007E1547" w:rsidTr="007B7599">
        <w:trPr>
          <w:trHeight w:val="249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Погрузчик фронтальный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D5715" w:rsidRPr="007E1547" w:rsidTr="007B7599">
        <w:trPr>
          <w:trHeight w:val="240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D5715" w:rsidRPr="007E1547" w:rsidTr="007B7599">
        <w:trPr>
          <w:trHeight w:val="243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715" w:rsidRPr="007E1547" w:rsidTr="007B7599">
        <w:trPr>
          <w:trHeight w:val="244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5715" w:rsidRPr="007E1547" w:rsidTr="007B7599">
        <w:trPr>
          <w:trHeight w:val="272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Асфальтоукладчик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D5715" w:rsidRPr="007E1547" w:rsidTr="007B7599">
        <w:trPr>
          <w:trHeight w:val="320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D5715" w:rsidRPr="007E1547" w:rsidTr="007B7599">
        <w:trPr>
          <w:trHeight w:val="780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(асфальторезчик, вибротрамбовка, битумоварка, снегоочиститель)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D5715" w:rsidRPr="007E1547" w:rsidTr="007B7599">
        <w:trPr>
          <w:trHeight w:val="268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Асфальтобетонный завод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D5715" w:rsidRPr="007E1547" w:rsidTr="007B7599">
        <w:trPr>
          <w:trHeight w:val="315"/>
        </w:trPr>
        <w:tc>
          <w:tcPr>
            <w:tcW w:w="3794" w:type="dxa"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Камнедробильная установка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D5715" w:rsidRPr="007E1547" w:rsidTr="007B7599">
        <w:trPr>
          <w:trHeight w:val="208"/>
        </w:trPr>
        <w:tc>
          <w:tcPr>
            <w:tcW w:w="3794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 w:rsidRPr="007E15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1302</w:t>
            </w:r>
          </w:p>
        </w:tc>
        <w:tc>
          <w:tcPr>
            <w:tcW w:w="1276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275" w:type="dxa"/>
            <w:noWrap/>
            <w:hideMark/>
          </w:tcPr>
          <w:p w:rsidR="002D5715" w:rsidRPr="007E1547" w:rsidRDefault="002D5715" w:rsidP="007E1547">
            <w:pPr>
              <w:tabs>
                <w:tab w:val="left" w:pos="993"/>
                <w:tab w:val="left" w:pos="1134"/>
              </w:tabs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4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</w:tbl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По состоянию на 2021 год оснащенность дорожных подразделений дорожной техникой и оборудованием осталась на прежнем уровне, как и по состоянию на 2015 год, что говорит о неудовлетворительной динамике в данном направлении.</w:t>
      </w:r>
      <w:r w:rsidRPr="007E15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</w:rPr>
        <w:t xml:space="preserve">Из имеющейся техники 35 % из-за выхода срока эксплуатации находятся </w:t>
      </w:r>
      <w:r w:rsidR="006605EB" w:rsidRPr="007E1547">
        <w:rPr>
          <w:rFonts w:ascii="Times New Roman" w:hAnsi="Times New Roman" w:cs="Times New Roman"/>
          <w:sz w:val="28"/>
          <w:szCs w:val="28"/>
        </w:rPr>
        <w:t xml:space="preserve">в </w:t>
      </w:r>
      <w:r w:rsidR="00C13F03" w:rsidRPr="007E1547">
        <w:rPr>
          <w:rFonts w:ascii="Times New Roman" w:hAnsi="Times New Roman" w:cs="Times New Roman"/>
          <w:sz w:val="28"/>
          <w:szCs w:val="28"/>
        </w:rPr>
        <w:t>не</w:t>
      </w:r>
      <w:r w:rsidRPr="007E1547">
        <w:rPr>
          <w:rFonts w:ascii="Times New Roman" w:hAnsi="Times New Roman" w:cs="Times New Roman"/>
          <w:sz w:val="28"/>
          <w:szCs w:val="28"/>
        </w:rPr>
        <w:t xml:space="preserve">рабочем состоянии и из-за отсутствия запасных частей на них, восстановлению или ремонту не подлежат. Вместе с тем, реальная потребность составляет более 2 000 единиц.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Применение новых образцов высокопроизводительной дорожной техники существенно сокращает сроки строительства автомобильных дорог, улучшает качество их содержания.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>В целом, анализируя объемы финансирования и результаты дорожных работ, можно сделать следующие выводы: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непропорциональное соотношение распределения ресурсов на реконструкцию/строительство дорог в сравнении с выделением средств на их содержание приводит к изнашиванию дорожной сети и к большему направлению финансовых средств на ее поддержание;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 – имеет место неэффективное управление дорожным сектором и громоздкая институциональная структура.</w:t>
      </w:r>
    </w:p>
    <w:p w:rsidR="008F1538" w:rsidRPr="007E1547" w:rsidRDefault="008F1538" w:rsidP="007E1547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Кыргызской Республике количество дорожно-транспортных происшествий (далее – ДТП)</w:t>
      </w:r>
      <w:r w:rsidR="000D1298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смертельным исходом и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увечьями больше</w:t>
      </w:r>
      <w:r w:rsidR="00B01C7D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чем в других странах ЕЭК ООН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(примерно 22 ДТП со смертельным исходом на 100 ДТП с увечьями, и 1 смертельный случай на каждые 6,6 раненных человек, при этом в самых развитых европейских странах это соотношение составляет 1:65). Возможно, количество мелких ДТП занижено, но в целом движение весьма небезопасно.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Статистика ДТП в Кыргызстане за последние десять лет представлена в следующих таблице и диаграмме.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Таблица 10. Статистика ДТП в Кыргызстане за последние годы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39"/>
        <w:gridCol w:w="42"/>
        <w:gridCol w:w="1064"/>
        <w:gridCol w:w="1162"/>
        <w:gridCol w:w="1134"/>
        <w:gridCol w:w="1134"/>
        <w:gridCol w:w="993"/>
        <w:gridCol w:w="1275"/>
      </w:tblGrid>
      <w:tr w:rsidR="000D1298" w:rsidRPr="007E1547" w:rsidTr="001C12C0">
        <w:trPr>
          <w:trHeight w:val="55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73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106" w:type="dxa"/>
            <w:gridSpan w:val="2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</w:t>
            </w:r>
            <w:r w:rsidR="00B01C7D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вень ДТП на 100 тыс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2525F9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</w:t>
            </w:r>
            <w:r w:rsidR="003A1204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вень смерт</w:t>
            </w:r>
            <w:r w:rsidR="00B01C7D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  <w:r w:rsidR="000D1298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на 100 тыс</w:t>
            </w:r>
            <w:r w:rsidR="000D1298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0D1298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</w:t>
            </w:r>
            <w:r w:rsidR="000D1298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Ранено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DE315A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</w:t>
            </w:r>
            <w:r w:rsidR="003A1204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вень ранен</w:t>
            </w:r>
            <w:r w:rsidR="00B01C7D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на 100 тыс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</w:t>
            </w:r>
            <w:r w:rsidR="00B01C7D"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 АМТС</w:t>
            </w:r>
            <w:r w:rsidR="007B7599"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(ед.)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444 094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6697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762 218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888 572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7497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991 888 </w:t>
            </w:r>
          </w:p>
        </w:tc>
      </w:tr>
      <w:tr w:rsidR="000D1298" w:rsidRPr="007E1547" w:rsidTr="001C12C0">
        <w:trPr>
          <w:trHeight w:val="413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7119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1 105 606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1 015 352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5868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1 146 780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9568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1 174 055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5995</w:t>
            </w:r>
          </w:p>
        </w:tc>
        <w:tc>
          <w:tcPr>
            <w:tcW w:w="106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162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275" w:type="dxa"/>
            <w:shd w:val="clear" w:color="auto" w:fill="auto"/>
            <w:hideMark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1 312 706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6663</w:t>
            </w:r>
          </w:p>
        </w:tc>
        <w:tc>
          <w:tcPr>
            <w:tcW w:w="1064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62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34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10314</w:t>
            </w:r>
          </w:p>
        </w:tc>
        <w:tc>
          <w:tcPr>
            <w:tcW w:w="993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275" w:type="dxa"/>
            <w:shd w:val="clear" w:color="auto" w:fill="auto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1 380 549 </w:t>
            </w:r>
          </w:p>
        </w:tc>
      </w:tr>
      <w:tr w:rsidR="000D1298" w:rsidRPr="007E1547" w:rsidTr="001C12C0">
        <w:trPr>
          <w:trHeight w:val="375"/>
        </w:trPr>
        <w:tc>
          <w:tcPr>
            <w:tcW w:w="849" w:type="dxa"/>
            <w:shd w:val="clear" w:color="auto" w:fill="auto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6126</w:t>
            </w:r>
          </w:p>
        </w:tc>
        <w:tc>
          <w:tcPr>
            <w:tcW w:w="1064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62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134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9227</w:t>
            </w:r>
          </w:p>
        </w:tc>
        <w:tc>
          <w:tcPr>
            <w:tcW w:w="993" w:type="dxa"/>
            <w:shd w:val="clear" w:color="auto" w:fill="FFFFFF" w:themeFill="background1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275" w:type="dxa"/>
            <w:shd w:val="clear" w:color="auto" w:fill="auto"/>
          </w:tcPr>
          <w:p w:rsidR="000D1298" w:rsidRPr="007E1547" w:rsidRDefault="000D1298" w:rsidP="007E1547">
            <w:pPr>
              <w:tabs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1 487 174 </w:t>
            </w:r>
          </w:p>
        </w:tc>
      </w:tr>
    </w:tbl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="Calibri" w:hAnsi="Times New Roman" w:cs="Times New Roman"/>
          <w:b/>
          <w:sz w:val="28"/>
          <w:szCs w:val="28"/>
        </w:rPr>
        <w:t xml:space="preserve">Глава 3. </w:t>
      </w: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Цель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Целью ОНРДО</w:t>
      </w:r>
      <w:r w:rsidR="001213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2030 является содействие экономическому развитию страны посредством обеспечения доступа населения к рынкам товаров, труда и социальных услуг и достижение устойчивого функционирования дорожной отрасли через совершенствование системы управления дорожным хозяйством.</w:t>
      </w:r>
      <w:r w:rsidRPr="007E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</w:rPr>
        <w:t>Разработанные и принятые в 2016 году Основные направления ра</w:t>
      </w:r>
      <w:r w:rsidR="002525F9" w:rsidRPr="007E1547">
        <w:rPr>
          <w:rFonts w:ascii="Times New Roman" w:hAnsi="Times New Roman" w:cs="Times New Roman"/>
          <w:sz w:val="28"/>
          <w:szCs w:val="28"/>
        </w:rPr>
        <w:t>звития дорожной отрасли на 2016–</w:t>
      </w:r>
      <w:r w:rsidRPr="007E1547">
        <w:rPr>
          <w:rFonts w:ascii="Times New Roman" w:hAnsi="Times New Roman" w:cs="Times New Roman"/>
          <w:sz w:val="28"/>
          <w:szCs w:val="28"/>
        </w:rPr>
        <w:t>2025 годы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многом предопредели</w:t>
      </w:r>
      <w:r w:rsidR="002525F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динамичное развитие отрасли за последние годы.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Активное сотрудничество с международными финансовыми институтами и организациями позволило решить задачи по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реабилитации международных транспортных коридоров для достижения одной из основных целей, поставленных в стратегии – обеспечение доступа к региональным рынкам товаров и услуг.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Глава 4. Приоритеты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1538" w:rsidRPr="007E1547" w:rsidRDefault="002525F9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МТ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К для достижения целей ОНРДО</w:t>
      </w:r>
      <w:r w:rsidR="001213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2030 при фокусировании внимания на сохранении международных транспортных коридоров в хорошем структурном состоянии и улучшении международных коридоров, проходящих по территории нашей республики, а также приоритетных автомобильных дорог государственного и местного значения, ставит следующие приоритеты:</w:t>
      </w:r>
    </w:p>
    <w:p w:rsidR="008F1538" w:rsidRPr="007E1547" w:rsidRDefault="008F1538" w:rsidP="007E1547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дальнейшее эффективное функционирование преобразованной системы управления дорожной отрасли; </w:t>
      </w:r>
    </w:p>
    <w:p w:rsidR="008F1538" w:rsidRPr="007E1547" w:rsidRDefault="008F1538" w:rsidP="007E1547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транспортно-логистическая интеграция и решение проблемы транспортной изолированности страны; </w:t>
      </w:r>
    </w:p>
    <w:p w:rsidR="008F1538" w:rsidRPr="007E1547" w:rsidRDefault="008F1538" w:rsidP="007E1547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обеспечение сохранности транспортной инфраструктуры для обеспечения комфортного, безопасного и непрерывного передвижения пассажиров и грузов; </w:t>
      </w:r>
    </w:p>
    <w:p w:rsidR="008F1538" w:rsidRPr="007E1547" w:rsidRDefault="008F1538" w:rsidP="007E1547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внедрение информационных интеллектуальных транспортных систем;</w:t>
      </w:r>
    </w:p>
    <w:p w:rsidR="008F1538" w:rsidRPr="007E1547" w:rsidRDefault="008F1538" w:rsidP="007E1547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5. Задачи и меры по каждому приоритету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F1538" w:rsidRPr="007E1547" w:rsidRDefault="008F1538" w:rsidP="007E1547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</w:p>
    <w:p w:rsidR="00B01C7D" w:rsidRPr="007E1547" w:rsidRDefault="00B01C7D" w:rsidP="007E1547">
      <w:pPr>
        <w:pStyle w:val="a5"/>
        <w:tabs>
          <w:tab w:val="left" w:pos="993"/>
          <w:tab w:val="left" w:pos="1134"/>
        </w:tabs>
        <w:ind w:left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1538" w:rsidRPr="007E1547" w:rsidRDefault="008F1538" w:rsidP="007E1547">
      <w:pPr>
        <w:pStyle w:val="a5"/>
        <w:numPr>
          <w:ilvl w:val="0"/>
          <w:numId w:val="39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E1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приоритету</w:t>
      </w:r>
      <w:r w:rsidRPr="007E1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«Дальнейшее эффективное функционирование преобразованной системы управления дорожной отрасли»:</w:t>
      </w:r>
    </w:p>
    <w:p w:rsidR="008F1538" w:rsidRPr="007E1547" w:rsidRDefault="008F1538" w:rsidP="007E1547">
      <w:pPr>
        <w:pStyle w:val="a5"/>
        <w:numPr>
          <w:ilvl w:val="0"/>
          <w:numId w:val="27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создание механизмов большей прозрачности, ответственности и подотчетности и совершенствование процесса принятия решений с целью наилучшего использования имеющихся ресурсов дорожной отрасли;</w:t>
      </w:r>
    </w:p>
    <w:p w:rsidR="008F1538" w:rsidRPr="007E1547" w:rsidRDefault="008F1538" w:rsidP="007E1547">
      <w:pPr>
        <w:pStyle w:val="a5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укрепление финансовой основы функционирования дорожной отрасли.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E1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 приоритету</w:t>
      </w:r>
      <w:r w:rsidRPr="007E1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«Транспортно-логистическая интеграция и решение проблемы транспортной изолированности страны»: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повышение привлекательности транспортной инфраструктуры.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3. К приоритету «Развитие и обеспечение сохранности транспортной инфраструктуры для обеспечения комфортного, безопасного и непрерывного передвижения пассажиров и грузов»: </w:t>
      </w:r>
    </w:p>
    <w:p w:rsidR="008F1538" w:rsidRPr="007E1547" w:rsidRDefault="008F1538" w:rsidP="007E1547">
      <w:pPr>
        <w:pStyle w:val="a5"/>
        <w:numPr>
          <w:ilvl w:val="0"/>
          <w:numId w:val="45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восстановление транспортно-эксплуатационных характеристик автомобильных дорог общего пользования;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улучшение контроля качества при выполнении дорожных работ.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3. К приоритету «Повышение безопасности дорожного движения»: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– разработка минимального набора показателей безопасности дорожного движения с учетом международной практики аудита безопасности дорожного движения.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Меры 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0"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реализации задачи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по созданию механизмов большей прозрачности, ответственности и подотчетности требуются следующие меры</w:t>
      </w:r>
      <w:r w:rsidR="000D1298" w:rsidRPr="007E15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538" w:rsidRPr="007E1547" w:rsidRDefault="008F1538" w:rsidP="007E1547">
      <w:pPr>
        <w:pStyle w:val="a5"/>
        <w:numPr>
          <w:ilvl w:val="0"/>
          <w:numId w:val="46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Разработка новой редакц</w:t>
      </w:r>
      <w:r w:rsidR="00B05DCB" w:rsidRPr="007E1547">
        <w:rPr>
          <w:rFonts w:ascii="Times New Roman" w:hAnsi="Times New Roman" w:cs="Times New Roman"/>
          <w:sz w:val="28"/>
          <w:szCs w:val="28"/>
          <w:lang w:eastAsia="ru-RU"/>
        </w:rPr>
        <w:t>ии Закона Кыргызской Республики</w:t>
      </w:r>
      <w:r w:rsidR="00CB0E0A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«Об автомобильных дорогах» и необходимых актов, вытекающих из него. </w:t>
      </w:r>
    </w:p>
    <w:p w:rsidR="008F1538" w:rsidRPr="007E1547" w:rsidRDefault="008F1538" w:rsidP="007E1547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Преобразование системы управления дорожной отрасли, обеспеченное принятием постановления Кабинета Министров Кыргызской Республики «О мерах по преобразованию системы управления дорожной отрасли» от 24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2021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№ 346, было обусловлено необходимостью обеспечения прозрачности в использовании бюджетных средств, четкого распределения обязанностей между управлением и исполнением работ по содержанию на каждом уровне управления, а также подотчетности посредством внедрения современных систем управления активами и учета физических объемов и их оценки.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="00C13F03" w:rsidRPr="007E154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аконом, регулирующим дорожную отрасль</w:t>
      </w:r>
      <w:r w:rsidR="00CB0E0A" w:rsidRPr="007E15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Закон Кыргызской Республики «Об автомобильных дорогах», который определяет экономические, правовые основы и принципы управления автомобильными дорогами республики организациями и предприятиями, затрагивает и регулирует практическ</w:t>
      </w:r>
      <w:r w:rsidR="00B01C7D" w:rsidRPr="007E1547">
        <w:rPr>
          <w:rFonts w:ascii="Times New Roman" w:hAnsi="Times New Roman" w:cs="Times New Roman"/>
          <w:sz w:val="28"/>
          <w:szCs w:val="28"/>
          <w:lang w:eastAsia="ru-RU"/>
        </w:rPr>
        <w:t>и весь спектр вопросов, касающих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ся дорожной отрасли. По результатам проведенной в стране инвентаризации законодательства принято решение актуализировать положения </w:t>
      </w:r>
      <w:r w:rsidR="00446962" w:rsidRPr="007E154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акона, с учетом необходимости внедрения новейших мировых тенденций в области интеллектуальных информационных систем, успешно зарекомендовавших себя в международном масштабе. Данные системы применимы как при планировании работ по ремонту и содержанию дорог, так и в осуществлении транспортного контроля. Тем самым могут быть созданы условия, как для эффективного распределения выделяемых бюджетных средств, так и для стимулирования участия частных инвесторов в строительстве дорог, их содержании, при активном использовании проектов государственно-частного партнерства (далее – ГЧП). 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Также, требуется раскрыть нормы, касающиеся платных дорог, предусмотреть нормы, поощряющие участие частного сектора в дорожных работах. При поддержке АБР на пилотном участке, отданном на содержание частному подрядчику были проведены работы по его содержанию по форме контракта, ориентированного на результат (далее – КОР). Данные контракты успешно применяются в развитых странах, принципом которых является поддержание соответствующего эксплуатационного состояния дороги, по результатам которого осуществляется оплата за работы, тогда как при ныне существующей практике оплачивается каждая заделанная яма. 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Требуется продолжить работу по гармонизации национального законодательства с требованиями актов, составляющих право ЕАЭС</w:t>
      </w:r>
      <w:r w:rsidR="00446962" w:rsidRPr="007E15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касающи</w:t>
      </w:r>
      <w:r w:rsidR="00B01C7D" w:rsidRPr="007E154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ся раскрытия отсылочных норм, предусмотренных Техническим регламентом Таможенного союза «Безопасность автомобильных дорог» (ТР/ТС 014/2011).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проведение работ в отрасли строится на применении единых ведомственных норм времени и расценки на работы, наиболее часто встречающиеся при строительстве и ремонте автомобильных дорог и искусственных сооружений, которые подлежат пересмотру.  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Данные преобразования невозможны без повсеместного внедрения процессов построенных на принципах цифровизации.</w:t>
      </w:r>
    </w:p>
    <w:p w:rsidR="008F1538" w:rsidRPr="007E1547" w:rsidRDefault="008F1538" w:rsidP="007E1547">
      <w:pPr>
        <w:pStyle w:val="a5"/>
        <w:numPr>
          <w:ilvl w:val="0"/>
          <w:numId w:val="46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Закрепление и совершенствование работы подведомственных организаций и их взаимоотношений в свете проводимых преобразований.</w:t>
      </w:r>
    </w:p>
    <w:p w:rsidR="008F1538" w:rsidRPr="007E1547" w:rsidRDefault="008F1538" w:rsidP="007E1547">
      <w:pPr>
        <w:pStyle w:val="a5"/>
        <w:numPr>
          <w:ilvl w:val="0"/>
          <w:numId w:val="46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Поддержание по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>тенциала в дорожном секторе.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рассмотрит возможности развития ПИЦ как центра передового опыта; поддержания потенциала дорожного проектного института; поддержки академических кругов (например, </w:t>
      </w:r>
      <w:r w:rsidR="00201255" w:rsidRPr="00201255">
        <w:rPr>
          <w:rFonts w:ascii="Times New Roman" w:hAnsi="Times New Roman" w:cs="Times New Roman"/>
          <w:bCs/>
          <w:sz w:val="28"/>
          <w:szCs w:val="28"/>
          <w:lang w:eastAsia="ru-RU"/>
        </w:rPr>
        <w:t>Кыргызск</w:t>
      </w:r>
      <w:r w:rsidR="00201255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201255" w:rsidRPr="002012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</w:t>
      </w:r>
      <w:r w:rsidR="00201255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201255" w:rsidRPr="002012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техническ</w:t>
      </w:r>
      <w:r w:rsidR="00201255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201255" w:rsidRPr="002012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университет</w:t>
      </w:r>
      <w:r w:rsidR="00201255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201255" w:rsidRPr="002012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</w:t>
      </w:r>
      <w:r w:rsidR="00201255">
        <w:rPr>
          <w:rFonts w:ascii="Times New Roman" w:hAnsi="Times New Roman" w:cs="Times New Roman"/>
          <w:bCs/>
          <w:sz w:val="28"/>
          <w:szCs w:val="28"/>
          <w:lang w:eastAsia="ru-RU"/>
        </w:rPr>
        <w:t>ени</w:t>
      </w:r>
      <w:r w:rsidR="00201255" w:rsidRPr="002012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И. Раззакова</w:t>
      </w:r>
      <w:r w:rsidR="00B05DCB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т. д.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538" w:rsidRPr="007E1547" w:rsidRDefault="008F1538" w:rsidP="007E1547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Для задачи по укреплению финансовой основы функционирования дорожной отрасли требуются следующие меры. </w:t>
      </w:r>
    </w:p>
    <w:p w:rsidR="008F1538" w:rsidRPr="007E1547" w:rsidRDefault="008F1538" w:rsidP="007E1547">
      <w:pPr>
        <w:pStyle w:val="a5"/>
        <w:numPr>
          <w:ilvl w:val="0"/>
          <w:numId w:val="47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Эффективное использование и поиск новых источников пополнения средств Дорожного фонда.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Основным вопросом, стоящим перед отраслью, является укрепление финансовых основ ее функционирования.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составлении ф</w:t>
      </w:r>
      <w:r w:rsidR="002525F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инансового планирования на 202</w:t>
      </w:r>
      <w:r w:rsidR="00CE1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525F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2030 годы учтены: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Основные направления ра</w:t>
      </w:r>
      <w:r w:rsidR="002525F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звития дорожной отрасли на </w:t>
      </w:r>
      <w:r w:rsidR="00FB07B5" w:rsidRPr="00FB0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525F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CE1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525F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2030 годы;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7E154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направления фискальной политик</w:t>
      </w:r>
      <w:r w:rsidR="002525F9" w:rsidRPr="007E1547">
        <w:rPr>
          <w:rFonts w:ascii="Times New Roman" w:hAnsi="Times New Roman" w:cs="Times New Roman"/>
          <w:sz w:val="28"/>
          <w:szCs w:val="28"/>
          <w:shd w:val="clear" w:color="auto" w:fill="FFFFFF"/>
        </w:rPr>
        <w:t>и Кыргызской Республики на 2020–</w:t>
      </w:r>
      <w:r w:rsidRPr="007E1547">
        <w:rPr>
          <w:rFonts w:ascii="Times New Roman" w:hAnsi="Times New Roman" w:cs="Times New Roman"/>
          <w:sz w:val="28"/>
          <w:szCs w:val="28"/>
          <w:shd w:val="clear" w:color="auto" w:fill="FFFFFF"/>
        </w:rPr>
        <w:t>2022 годы;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подписанные кредитные соглашения с Международными финансовыми институтами.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этом ключевой целью укрепления финансовой основы функционирования автодорожной отрасли для сохранения и развития дорожной сети Кыргызской Республики является деятельность ДФ.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ДФ предполагает: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установление целевой привязки отдельных видов доходов бюджета, связанных с автомобильным транспортом и дорогами, к бюджетным ассигнованиям, направленным на развитие и сохранение автомобильной дорожной сети Кыргызской Республики;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доведение объема бюджетного финансирования до минимально допустимого уровня финансовой потребности, который, с одной стороны, обеспечит финансовое покрытие необходимых для сохранения дорожной сети эксплуатационных д</w:t>
      </w:r>
      <w:r w:rsidR="00446962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орожных работ, с другой стороны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окажет чрезмерного давления на государственный бюджет;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ориентация системы финансирования дорожной отрасли на внутренние резервы страны;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закрепление минимально гарантированного объема бюджетных ассигнований на сохранение и поддержание автомобильных дорог общего пользования; бюджетных инвестиций в форме капитальных вложений на капитальный ремонт, реконструкцию и строительство новых автомобильных дорог общего пользования.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потребность в финансовых средствах для действующих и планируемых проектов по восстановлению участков международных транспортных коридоров протяженностью 1132 км, составляет </w:t>
      </w:r>
      <w:r w:rsidR="00455128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млрд 611 млн долларов США, в том числе определены источники финансирования для 1 млрд 177,93 млн долларов США. Необходимо привлечь средства в объеме 433,07 млн долл</w:t>
      </w:r>
      <w:r w:rsidR="00B01C7D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аров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США для реабилитации 277 км автомобильных дорог.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Таблица 11. Потребности в средствах дорожной отрасли и возможности республиканского бюджета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019"/>
        <w:gridCol w:w="2383"/>
        <w:gridCol w:w="2832"/>
      </w:tblGrid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Потребность в средствах, тыс. сомов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Возможности бюджета, тыс. сомов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Обеспеченность финансированием,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7347,12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2779,32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7602,00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2890,49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8026,26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3006,11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8684,71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3126,36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9108,97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3643,58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9363,77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4213,69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9618,64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4616,94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10042,9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5021,45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8F1538" w:rsidRPr="007E1547" w:rsidTr="002525F9"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10625,32</w:t>
            </w:r>
          </w:p>
        </w:tc>
        <w:tc>
          <w:tcPr>
            <w:tcW w:w="14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5631,42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38" w:rsidRPr="007E1547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5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53 %</w:t>
            </w:r>
          </w:p>
        </w:tc>
      </w:tr>
    </w:tbl>
    <w:p w:rsidR="00231CE0" w:rsidRPr="007E1547" w:rsidRDefault="00231CE0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Удовлетворение потребностей в содержании дорожной отрасли возможно лишь при использовании средств ДФ.</w:t>
      </w:r>
    </w:p>
    <w:p w:rsidR="008F1538" w:rsidRPr="007E1547" w:rsidRDefault="008F1538" w:rsidP="007E1547">
      <w:pPr>
        <w:pStyle w:val="af1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7E1547">
        <w:rPr>
          <w:sz w:val="28"/>
          <w:szCs w:val="28"/>
        </w:rPr>
        <w:t>Если продолжать финансировать на текущем уровне (50 % от потребности), то дороги будут разрушаться по причине недостаточных объемов среднего и капитального ремонта.</w:t>
      </w:r>
    </w:p>
    <w:p w:rsidR="008F1538" w:rsidRPr="007E1547" w:rsidRDefault="008F1538" w:rsidP="007E1547">
      <w:pPr>
        <w:pStyle w:val="af1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7E1547">
        <w:rPr>
          <w:sz w:val="28"/>
          <w:szCs w:val="28"/>
        </w:rPr>
        <w:t>Нынешний уровень финансирования с</w:t>
      </w:r>
      <w:r w:rsidR="002525F9" w:rsidRPr="007E1547">
        <w:rPr>
          <w:sz w:val="28"/>
          <w:szCs w:val="28"/>
        </w:rPr>
        <w:t>одержания дорог эквивалентен 30–</w:t>
      </w:r>
      <w:r w:rsidRPr="007E1547">
        <w:rPr>
          <w:sz w:val="28"/>
          <w:szCs w:val="28"/>
        </w:rPr>
        <w:t xml:space="preserve">40 млн долларов США, а потребность составляет более 100 </w:t>
      </w:r>
      <w:r w:rsidR="00231CE0" w:rsidRPr="007E1547">
        <w:rPr>
          <w:sz w:val="28"/>
          <w:szCs w:val="28"/>
        </w:rPr>
        <w:t>млн долларов</w:t>
      </w:r>
      <w:r w:rsidRPr="007E1547">
        <w:rPr>
          <w:sz w:val="28"/>
          <w:szCs w:val="28"/>
        </w:rPr>
        <w:t xml:space="preserve"> США. Согласно текущему прогнозу среднесрочного бюджета, аналогичный уровень финансирования сохранится, но в случае функционирования ДФ, уровень финансирования дорожной отрасли превысит 50 процентный барьер.</w:t>
      </w:r>
    </w:p>
    <w:p w:rsidR="008F1538" w:rsidRPr="007E1547" w:rsidRDefault="008F1538" w:rsidP="007E1547">
      <w:pPr>
        <w:pStyle w:val="af1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7E1547">
        <w:rPr>
          <w:sz w:val="28"/>
          <w:szCs w:val="28"/>
        </w:rPr>
        <w:t>Дефицит финансирования содержания, в размере от 60 до 70 млн</w:t>
      </w:r>
      <w:r w:rsidR="002525F9" w:rsidRPr="007E1547">
        <w:rPr>
          <w:sz w:val="28"/>
          <w:szCs w:val="28"/>
        </w:rPr>
        <w:t xml:space="preserve"> </w:t>
      </w:r>
      <w:r w:rsidRPr="007E1547">
        <w:rPr>
          <w:sz w:val="28"/>
          <w:szCs w:val="28"/>
        </w:rPr>
        <w:t>долларов США ежегодно можно покрыть эффективным использование</w:t>
      </w:r>
      <w:r w:rsidR="00E60E26" w:rsidRPr="007E1547">
        <w:rPr>
          <w:sz w:val="28"/>
          <w:szCs w:val="28"/>
        </w:rPr>
        <w:t>м</w:t>
      </w:r>
      <w:r w:rsidRPr="007E1547">
        <w:rPr>
          <w:sz w:val="28"/>
          <w:szCs w:val="28"/>
        </w:rPr>
        <w:t xml:space="preserve"> средств, направляемых в ДФ, а также путем институциональных преобразований с привлечением частного сектора в форме ГЧП.</w:t>
      </w:r>
    </w:p>
    <w:p w:rsidR="008F1538" w:rsidRPr="007E1547" w:rsidRDefault="008F1538" w:rsidP="007E1547">
      <w:pPr>
        <w:pStyle w:val="af1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7E1547">
        <w:rPr>
          <w:sz w:val="28"/>
          <w:szCs w:val="28"/>
        </w:rPr>
        <w:t>Важно также продолжить капитальные инвестиции, чтобы избежать дальнейшего ухудшения состояния дорог.</w:t>
      </w:r>
    </w:p>
    <w:p w:rsidR="008F1538" w:rsidRPr="007E1547" w:rsidRDefault="008F1538" w:rsidP="007E1547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Задача «Повышение привлекательности транспортной инфраструктуры» включает следующие меры: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1. Развитие международных автомобильных дорог. </w:t>
      </w:r>
    </w:p>
    <w:p w:rsidR="00455128" w:rsidRPr="007E1547" w:rsidRDefault="008F1538" w:rsidP="007E1547">
      <w:pPr>
        <w:tabs>
          <w:tab w:val="left" w:pos="993"/>
          <w:tab w:val="left" w:pos="1134"/>
          <w:tab w:val="left" w:pos="4253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сложности рельефа территории страны, система международных автотранспортных коридоров является единственным инструментом образования единого экономического пространства внутри республики. Для восстановления и строительства данной категории дорог привлечено более 60 % внешнего долга республики. Развитие международных автотранспортных коридоров является естественным приоритетом нашей экономики. Ремонт и содержание международных автотранспортных коридоров будет осуществляться по высоким техническим стандартам. При строгом соблюдении межремонтных сроков капитального и среднего ремонтов объемы работ по ремонту международных автотранспортных коридоров после завершения строительных и реабилитационных работ на всем протяжении, равном 2910 км (с учетом альтернативной автодороги Север – Юг – 433 км), ежегодно должны составлять: капитальный ремонт асфальтобетонных покрытий – не менее 500 км, средний ремонт асфальтобетонных покрытий – не менее 1000 км. Параметры данных показателей будут достигнуты к 2032 году, так как </w:t>
      </w:r>
      <w:r w:rsidR="0045512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завершение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455128" w:rsidRPr="007E1547">
        <w:rPr>
          <w:rFonts w:ascii="Times New Roman" w:hAnsi="Times New Roman" w:cs="Times New Roman"/>
          <w:sz w:val="28"/>
          <w:szCs w:val="28"/>
          <w:lang w:eastAsia="ru-RU"/>
        </w:rPr>
        <w:t>х работ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по реабилитаци</w:t>
      </w:r>
      <w:r w:rsidR="00CB0E0A" w:rsidRPr="007E154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международных автотранспортных коридор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ов планируется к 2023–2024 годам. </w:t>
      </w:r>
    </w:p>
    <w:p w:rsidR="008F1538" w:rsidRPr="007E1547" w:rsidRDefault="002525F9" w:rsidP="007E1547">
      <w:pPr>
        <w:tabs>
          <w:tab w:val="left" w:pos="993"/>
          <w:tab w:val="left" w:pos="1134"/>
          <w:tab w:val="left" w:pos="4253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Также МТ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необходимо проработать вопрос привлечения инвестиций на реабилитацию Иссык-Кульской кольцевой автомобильной дороги (южный берег), автодороги </w:t>
      </w:r>
      <w:r w:rsidR="008F1538" w:rsidRPr="007E154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="008F1538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уусамыр – Талас – Тараз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, автодороги Арал – Суусамыр, Северной дороги в объезд </w:t>
      </w:r>
      <w:r w:rsidR="00FB07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г. Бишкек, строительство дороги в объезд г. Раззаков, реабилитацию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автодороги Бишкек – Кант – Токмок –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Кемин, строительство тоннеля на перевале Талдык, реконструкцию автодороги Ош – Баткен – Исфана, строительство дороги в объезд г. Баткен и для строительства южной альтернативной дороги в объезд </w:t>
      </w:r>
      <w:r w:rsidR="00DE315A" w:rsidRPr="00DE315A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Ош.</w:t>
      </w:r>
    </w:p>
    <w:p w:rsidR="008F1538" w:rsidRPr="007E1547" w:rsidRDefault="00FF7949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Индикатором оценки работы МТ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в этом направлении является доведение </w:t>
      </w:r>
      <w:r w:rsidR="00E60E26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65 % международных автотранспортных коридоров, находящихся в хорошем и отличном состояниях в 2014 году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до 100 % к 2030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году.</w:t>
      </w:r>
    </w:p>
    <w:p w:rsidR="008F1538" w:rsidRPr="007E1547" w:rsidRDefault="008F1538" w:rsidP="007E1547">
      <w:pPr>
        <w:pStyle w:val="a5"/>
        <w:numPr>
          <w:ilvl w:val="0"/>
          <w:numId w:val="47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Развитие придорожного сервиса.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придорожного сервиса является одним из инструментов повышения привлекательности Кыргызской Республики как туристической страны.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7E154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Кыргызской Республики </w:t>
      </w:r>
      <w:r w:rsidR="0045512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>«Об автомобильных дорогах»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 в 2023 году совместно с соответствующими государственными органами и органами местного самоуправления проведет мероприятия по закреплению и регистрации полос отвода и придорожных полос автомобильных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дорог общего пользования за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К. В целях создания благоприятных условий для развития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придорожного сервиса усилия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будут направлены на получение налоговых льгот и других преференций для предпринимателей в сфере придорожного сервиса. В качестве мер реализации будет осуществлено упорядочение работ по выдаче технических условий на размещение объектов придорожного сервиса, будет разработана и утверждена генеральная схема размещения объектов придорожного сервиса. Учитывая, что автомобильные дороги и земельные участки, относящиеся к ним, являются государственной собственностью, плата от передачи их в аренду, согласно требованиям Бюджетного кодекса Кыргызской Республики должна поступать в республиканский бюджет, с последующей консолидацией в Дорожном фонде и дальнейшим направлением на ремонт и содержание автомобильных дорог. </w:t>
      </w:r>
    </w:p>
    <w:p w:rsidR="008F1538" w:rsidRPr="007E1547" w:rsidRDefault="008F1538" w:rsidP="007E1547">
      <w:pPr>
        <w:pStyle w:val="a5"/>
        <w:numPr>
          <w:ilvl w:val="0"/>
          <w:numId w:val="47"/>
        </w:numPr>
        <w:tabs>
          <w:tab w:val="left" w:pos="993"/>
          <w:tab w:val="left" w:pos="1134"/>
          <w:tab w:val="left" w:pos="3402"/>
          <w:tab w:val="left" w:pos="3544"/>
        </w:tabs>
        <w:ind w:left="0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Подготовка проектов ГЧП.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Поиск новых источников финансирования дорожной отрасли предусматривает внедрение следующих способов, посредством реализации которых государство сможет не только улучшить меры по содержанию дорог, но и возвращать кредитные средства, привлеченные на строительство и реаби</w:t>
      </w:r>
      <w:r w:rsidR="002525F9" w:rsidRPr="007E1547">
        <w:rPr>
          <w:rFonts w:ascii="Times New Roman" w:hAnsi="Times New Roman" w:cs="Times New Roman"/>
          <w:sz w:val="28"/>
          <w:szCs w:val="28"/>
          <w:lang w:eastAsia="ru-RU"/>
        </w:rPr>
        <w:t>литацию автомобильных дорог.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будет практиковать перевод некоторых участков автомобильных дорог общего пользования на платную основу. К </w:t>
      </w:r>
      <w:r w:rsidR="00FB07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2030 году необходимо увеличить протяженность таких участков до 1000 км. Основная часть средств от платных дорог будет поступать в доходную часть республиканского бюджета.</w:t>
      </w:r>
    </w:p>
    <w:p w:rsidR="0045512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Международный опыт решения проблем в дорожной и транспортных отраслях демонстрирует, что только цифровизация всех сфер деятельности изменит облик экономики, модели и методы работы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данными, сами товары и услуги, а также функции государства и форматы его взаимодействия с обществом. Взимание предусмотренного Кодексом Кыргызской Республики о неналоговых доходах сбора за проезд по автомобильным дорогам общего пользования с грузовых транс</w:t>
      </w:r>
      <w:r w:rsidR="00455128" w:rsidRPr="007E1547">
        <w:rPr>
          <w:rFonts w:ascii="Times New Roman" w:hAnsi="Times New Roman" w:cs="Times New Roman"/>
          <w:sz w:val="28"/>
          <w:szCs w:val="28"/>
          <w:lang w:eastAsia="ru-RU"/>
        </w:rPr>
        <w:t>портных средств и автобусов,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 согласно поручению Кабинета Министров Кыргызской Республики, реализует путем создания информационной системы, включающей в себя динамический весогабаритный контроль, полность</w:t>
      </w:r>
      <w:r w:rsidR="00FF7949" w:rsidRPr="007E1547">
        <w:rPr>
          <w:rFonts w:ascii="Times New Roman" w:hAnsi="Times New Roman" w:cs="Times New Roman"/>
          <w:sz w:val="28"/>
          <w:szCs w:val="28"/>
          <w:lang w:eastAsia="ru-RU"/>
        </w:rPr>
        <w:t>ю исключающей участие человека.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В перспективе в данную информационную систему предполагается включение функции электронного пломбирования транспортных средств, а также другие функции транспортного контроля, связанного с контролем режима времени работы и отдыха водителей. Учитывая, что проект имеет большое финансовое значение, планируется реализовать его путем привлечения частного капитала на основе соглашения о ГЧП. </w:t>
      </w:r>
    </w:p>
    <w:p w:rsidR="008F1538" w:rsidRPr="007E1547" w:rsidRDefault="0045512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Согласно п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сч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, при внедрении сборов ежегодные поступления составят порядка 2,0 млрд сом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, исходя из расчета интенсивности движения и предлагаемых размеров тарифа.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Направление этих средств на текущий ремонт и содержание автомобильных дорог позволит сэкономить бюджетные средства порядка 43,0 млрд сомов за 30 летний период или 1</w:t>
      </w:r>
      <w:r w:rsidR="003B12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4 млрд сомов ежегодно. При этом выгоды для предпринимателей в виде экономии времени на поездки – до 50</w:t>
      </w:r>
      <w:r w:rsidR="0045512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3BF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ежегодной (ориентировочной) экономии на эксплуатации транспорта: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– от ГСМ – 2,7 млрд сомов;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– от заработной платы – 1,3 млрд сомов (от экономии времени);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– от ремонта минимум – 1,0 млрд сомов. </w:t>
      </w:r>
    </w:p>
    <w:p w:rsidR="008F1538" w:rsidRPr="007E1547" w:rsidRDefault="00FF7949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Одновременно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владельцы легковых транспортных средств получают полный доступ к модернизированной и надлежащим образом содержащейся дорожной инфраструктуре.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ОНРДО-2030 предусмотрена подготовка и реализация ряда пилотных проектов по ГЧП в дорожной отрасли. Также необходимо задействовать </w:t>
      </w:r>
      <w:r w:rsidR="00FF794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онды развития регионов, средства которых планиру</w:t>
      </w:r>
      <w:r w:rsidR="00B05DCB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B05DCB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направлять на развитие инфраструктуры.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Проекты будут ограничены подъездными дорогами высокого стандарта, соответствующего национальным стандартам и будут разработаны и управляться частным партнером в рамках механизма ГЧП. Проекты будут подготовлены д</w:t>
      </w:r>
      <w:r w:rsidR="002525F9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олжным образом, включая технико-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экономические </w:t>
      </w:r>
      <w:r w:rsidR="00231CE0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обоснования международного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образца, и реализовываться на конкурентной и открытой основах.</w:t>
      </w:r>
      <w:r w:rsidRPr="007E1547">
        <w:rPr>
          <w:rFonts w:ascii="Times New Roman" w:hAnsi="Times New Roman" w:cs="Times New Roman"/>
          <w:sz w:val="28"/>
          <w:szCs w:val="28"/>
        </w:rPr>
        <w:t xml:space="preserve"> 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2030 года будут приняты меры по реализации приоритетных проектов ГЧП, перечень которых приведен ниже.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FB07B5" w:rsidP="007E1547">
      <w:pPr>
        <w:tabs>
          <w:tab w:val="left" w:pos="993"/>
          <w:tab w:val="left" w:pos="113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br/>
      </w:r>
      <w:r w:rsidR="008F1538" w:rsidRPr="007E154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12. Перечень </w:t>
      </w:r>
      <w:r w:rsidR="00231CE0" w:rsidRPr="007E1547">
        <w:rPr>
          <w:rFonts w:ascii="Times New Roman" w:eastAsia="Calibri" w:hAnsi="Times New Roman" w:cs="Times New Roman"/>
          <w:b/>
          <w:sz w:val="28"/>
          <w:szCs w:val="28"/>
        </w:rPr>
        <w:t>планируемых проектов,</w:t>
      </w:r>
      <w:r w:rsidR="008F1538" w:rsidRPr="007E1547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реализуемых в формате ГЧП </w:t>
      </w:r>
    </w:p>
    <w:tbl>
      <w:tblPr>
        <w:tblStyle w:val="a6"/>
        <w:tblW w:w="8642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418"/>
        <w:gridCol w:w="3118"/>
      </w:tblGrid>
      <w:tr w:rsidR="008F1538" w:rsidRPr="00421C91" w:rsidTr="002E295E">
        <w:tc>
          <w:tcPr>
            <w:tcW w:w="421" w:type="dxa"/>
            <w:vAlign w:val="center"/>
          </w:tcPr>
          <w:p w:rsidR="008F1538" w:rsidRPr="00421C91" w:rsidRDefault="002525F9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F153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  <w:r w:rsidR="0045512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1C91">
              <w:rPr>
                <w:rFonts w:ascii="Times New Roman" w:hAnsi="Times New Roman" w:cs="Times New Roman"/>
                <w:sz w:val="24"/>
                <w:szCs w:val="24"/>
              </w:rPr>
              <w:t>женность, км</w:t>
            </w:r>
          </w:p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538" w:rsidRPr="00421C91" w:rsidRDefault="00B05DCB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Ориенти-</w:t>
            </w:r>
            <w:r w:rsidR="008F153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ровочная</w:t>
            </w:r>
          </w:p>
          <w:p w:rsidR="008F1538" w:rsidRPr="00421C91" w:rsidRDefault="008A2AC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F153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тоимость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1CE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долл</w:t>
            </w:r>
            <w:r w:rsidR="00DE3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F153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</w:tcPr>
          <w:p w:rsidR="008F1538" w:rsidRPr="00DE315A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строительства автомобильной дороги</w:t>
            </w:r>
            <w:r w:rsidR="001545E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объезд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7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FE7DD3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Узген, Ошская область </w:t>
            </w:r>
          </w:p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11,3</w:t>
            </w:r>
          </w:p>
        </w:tc>
        <w:tc>
          <w:tcPr>
            <w:tcW w:w="14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15,8</w:t>
            </w:r>
          </w:p>
        </w:tc>
        <w:tc>
          <w:tcPr>
            <w:tcW w:w="31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предусматривает строительство дороги</w:t>
            </w:r>
            <w:r w:rsidR="002525F9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которая будет альтернативой дороге Бишкек – Ош 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268" w:type="dxa"/>
          </w:tcPr>
          <w:p w:rsidR="008F1538" w:rsidRPr="00421C91" w:rsidRDefault="001545E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Перевод участка перевала Кувакы</w:t>
            </w:r>
            <w:r w:rsidR="008F1538" w:rsidRPr="00421C9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на платную основу </w:t>
            </w: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C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25,68 </w:t>
            </w:r>
          </w:p>
        </w:tc>
        <w:tc>
          <w:tcPr>
            <w:tcW w:w="14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13,1 </w:t>
            </w:r>
          </w:p>
        </w:tc>
        <w:tc>
          <w:tcPr>
            <w:tcW w:w="3118" w:type="dxa"/>
          </w:tcPr>
          <w:p w:rsidR="008F1538" w:rsidRPr="00421C91" w:rsidRDefault="008F1538" w:rsidP="007E1547">
            <w:pPr>
              <w:pStyle w:val="tkTekst"/>
              <w:tabs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перевала Кувакы автомобильной дороги Бишкек –</w:t>
            </w:r>
            <w:r w:rsidR="00B05DCB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Нарын – Торугарт</w:t>
            </w:r>
            <w:r w:rsidR="001545E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05DCB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545E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147 по 173 км.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E3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ротяженность участка через г.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Балыкчы с</w:t>
            </w:r>
            <w:r w:rsidR="008E32F7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147 км по 214 км составляет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км. Сокращение пути составит 41 км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альтернативного тоннеля на перевале Тоо-Ашу по автодороге </w:t>
            </w:r>
            <w:r w:rsidR="00DE3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Бишкек – Ош</w:t>
            </w: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8F1538" w:rsidRPr="003B121F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</w:t>
            </w:r>
            <w:r w:rsidRPr="003B1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8F1538" w:rsidRPr="00421C91" w:rsidRDefault="008F1538" w:rsidP="003B121F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тоннеля на высоте 2 200 метров над уровнем моря, что на </w:t>
            </w:r>
            <w:r w:rsidR="003B1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1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 метров ниже действующего тоннеля позволит обеспечить </w:t>
            </w:r>
            <w:r w:rsidR="008E32F7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еспублику тоннелем с большей пропускной способностью 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альтернативной дороги Бишкек </w:t>
            </w:r>
            <w:r w:rsidR="008E32F7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</w:t>
            </w:r>
            <w:r w:rsidR="008170D4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-Балта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(южная объездная)</w:t>
            </w: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395,0</w:t>
            </w:r>
          </w:p>
        </w:tc>
        <w:tc>
          <w:tcPr>
            <w:tcW w:w="31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Позволит сократить транспортные издержки из южных в северные регионы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8F1538" w:rsidRPr="00421C91" w:rsidRDefault="008F1538" w:rsidP="00DE315A">
            <w:pPr>
              <w:tabs>
                <w:tab w:val="left" w:pos="993"/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строительства 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автомобильной дороги </w:t>
            </w:r>
            <w:r w:rsidR="00DE3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Иссык</w:t>
            </w:r>
            <w:r w:rsidR="008170D4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 </w:t>
            </w:r>
            <w:r w:rsidR="008170D4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Алматы </w:t>
            </w:r>
          </w:p>
        </w:tc>
        <w:tc>
          <w:tcPr>
            <w:tcW w:w="1417" w:type="dxa"/>
          </w:tcPr>
          <w:p w:rsidR="008F1538" w:rsidRPr="00421C91" w:rsidRDefault="00FE2225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 w:cs="Times New Roman"/>
                <w:szCs w:val="24"/>
                <w:lang w:val="ru-RU"/>
              </w:rPr>
              <w:t>М</w:t>
            </w:r>
            <w:r w:rsidR="008F1538" w:rsidRPr="00DE315A">
              <w:rPr>
                <w:rFonts w:ascii="Times New Roman" w:hAnsi="Times New Roman" w:cs="Times New Roman"/>
                <w:szCs w:val="24"/>
                <w:lang w:val="ru-RU"/>
              </w:rPr>
              <w:t>аршрут Алматы –</w:t>
            </w:r>
            <w:r w:rsidRPr="00DE315A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F1538" w:rsidRPr="00DE315A">
              <w:rPr>
                <w:rFonts w:ascii="Times New Roman" w:hAnsi="Times New Roman" w:cs="Times New Roman"/>
                <w:szCs w:val="24"/>
                <w:lang w:val="ru-RU"/>
              </w:rPr>
              <w:t>Бишкек –Быстровка</w:t>
            </w:r>
            <w:r w:rsidR="00E70B15" w:rsidRPr="00DE315A">
              <w:rPr>
                <w:rFonts w:ascii="Times New Roman" w:hAnsi="Times New Roman" w:cs="Times New Roman"/>
                <w:szCs w:val="24"/>
                <w:lang w:val="ru-RU"/>
              </w:rPr>
              <w:t xml:space="preserve"> – Балыкчи – Чолпон-</w:t>
            </w:r>
            <w:r w:rsidR="008F1538" w:rsidRPr="00DE315A">
              <w:rPr>
                <w:rFonts w:ascii="Times New Roman" w:hAnsi="Times New Roman" w:cs="Times New Roman"/>
                <w:szCs w:val="24"/>
                <w:lang w:val="ru-RU"/>
              </w:rPr>
              <w:t xml:space="preserve">Ата, </w:t>
            </w:r>
            <w:r w:rsidR="001A5DB0" w:rsidRPr="00DE315A">
              <w:rPr>
                <w:rFonts w:ascii="Times New Roman" w:hAnsi="Times New Roman" w:cs="Times New Roman"/>
                <w:szCs w:val="24"/>
                <w:lang w:val="ru-RU"/>
              </w:rPr>
              <w:t>протяжен</w:t>
            </w:r>
            <w:r w:rsidR="003B121F" w:rsidRPr="00DE315A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231CE0" w:rsidRPr="00DE315A">
              <w:rPr>
                <w:rFonts w:ascii="Times New Roman" w:hAnsi="Times New Roman" w:cs="Times New Roman"/>
                <w:szCs w:val="24"/>
                <w:lang w:val="ru-RU"/>
              </w:rPr>
              <w:t>ностью</w:t>
            </w:r>
            <w:r w:rsidR="008F1538" w:rsidRPr="00DE315A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DE315A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="006E3828" w:rsidRPr="00DE315A">
              <w:rPr>
                <w:rFonts w:ascii="Times New Roman" w:hAnsi="Times New Roman" w:cs="Times New Roman"/>
                <w:szCs w:val="24"/>
                <w:lang w:val="ru-RU"/>
              </w:rPr>
              <w:t xml:space="preserve">485 км </w:t>
            </w:r>
          </w:p>
        </w:tc>
        <w:tc>
          <w:tcPr>
            <w:tcW w:w="14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E31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114</w:t>
            </w:r>
            <w:r w:rsidRPr="00421C9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,0</w:t>
            </w:r>
          </w:p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транзитного потенциала, дальнейшее углубление и развитие торгово-экономических отношений между Кыргызской Республикой и Республикой Казахстан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строительства южной дороги в объезд г. Ош</w:t>
            </w:r>
            <w:r w:rsidR="006E382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31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автомобильной дороги для объезда г. Ош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26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информационной системы взимания сбора с грузового транспорта 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весогабаритного контроля</w:t>
            </w: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4400</w:t>
            </w:r>
          </w:p>
        </w:tc>
        <w:tc>
          <w:tcPr>
            <w:tcW w:w="14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3118" w:type="dxa"/>
          </w:tcPr>
          <w:p w:rsidR="008F1538" w:rsidRPr="00421C91" w:rsidRDefault="008F1538" w:rsidP="00170258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предварительным расчетам ежегодные поступления в бюджет мо</w:t>
            </w:r>
            <w:r w:rsidR="006E382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 составить не менее 2,0 млрд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сомов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E3828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позволит увеличить объемы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финансирования д</w:t>
            </w:r>
            <w:r w:rsidR="00CE1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орожной отрасли с 2023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ориентировочно на 20 %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F1538" w:rsidRPr="00421C91" w:rsidTr="002E295E">
        <w:tc>
          <w:tcPr>
            <w:tcW w:w="421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автомобильной дороги Бишкек –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Балыкчы – Нарын –Торугарт</w:t>
            </w:r>
            <w:r w:rsidR="00FF3576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9–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км </w:t>
            </w:r>
          </w:p>
        </w:tc>
        <w:tc>
          <w:tcPr>
            <w:tcW w:w="1417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 </w:t>
            </w:r>
          </w:p>
        </w:tc>
        <w:tc>
          <w:tcPr>
            <w:tcW w:w="14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  <w:tc>
          <w:tcPr>
            <w:tcW w:w="3118" w:type="dxa"/>
          </w:tcPr>
          <w:p w:rsidR="008F1538" w:rsidRPr="00421C91" w:rsidRDefault="008F1538" w:rsidP="007E154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Отрезок проектной дороги начинается с отметки 9,5 км от Бишкека и заканчивается на отметке 90,5 км</w:t>
            </w:r>
            <w:r w:rsidR="00FF3576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пересекается с</w:t>
            </w:r>
            <w:r w:rsidR="00FF3576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внутренней автодорогой Бишкек – </w:t>
            </w:r>
            <w:r w:rsidR="001A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Кант – Токмок – Кемин на 82 км. </w:t>
            </w:r>
          </w:p>
          <w:p w:rsidR="008F1538" w:rsidRPr="00421C91" w:rsidRDefault="008F1538" w:rsidP="003B121F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начале и конце проектной дороги предлагается построить пункты взимания платы с необходимой инфраструктурой и коммуникациями. Кроме взимания платы на ПВП будет осуществляться контроль </w:t>
            </w:r>
            <w:r w:rsidR="0017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весогабаритных параметров,</w:t>
            </w:r>
            <w:r w:rsidR="00ED75A0"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въезжающих и выезжающих транспортных средств</w:t>
            </w:r>
            <w:r w:rsidR="0017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2E295E" w:rsidRDefault="008F1538" w:rsidP="002E295E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538" w:rsidRPr="007E1547" w:rsidRDefault="008F1538" w:rsidP="002E295E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Задача по восстановлению транспортно-эксплуатационных характеристик автомобильных дорог общего пользования включает в себя следующие меры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538" w:rsidRPr="007E1547" w:rsidRDefault="008F1538" w:rsidP="002E295E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государственных и местных автомобильных дорог. </w:t>
      </w:r>
    </w:p>
    <w:p w:rsidR="008F1538" w:rsidRPr="007E1547" w:rsidRDefault="008F1538" w:rsidP="002E295E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Учитывая низкую нагрузку на государственные и </w:t>
      </w:r>
      <w:r w:rsidR="00231CE0" w:rsidRPr="007E1547">
        <w:rPr>
          <w:rFonts w:ascii="Times New Roman" w:hAnsi="Times New Roman" w:cs="Times New Roman"/>
          <w:sz w:val="28"/>
          <w:szCs w:val="28"/>
          <w:lang w:eastAsia="ru-RU"/>
        </w:rPr>
        <w:t>местные автомобильные дороги,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и ограниченность средств, выделяемых на ремонт и содержание дорог из республиканского бюджета, на данных категориях дорог необходимо обеспечить минимальные требования по безопасности для транспортных средств и других пользователей дорог. Особое внимание будет уделяться совершенствованию дорожного покрытия внутри населенных пунктов. Вне населенных пунктов, в зависимости от нагрузки на дорогу, необходимо пересмотреть тип покрытия участков дорог. Ремонт и содержание автомобильных дорог необходимо осуществлять при соблюдении Положения </w:t>
      </w:r>
      <w:r w:rsidR="00CE1A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о планировании и проведени</w:t>
      </w:r>
      <w:r w:rsidR="00FE2225" w:rsidRPr="007E154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работ по ремонту и содержани</w:t>
      </w:r>
      <w:r w:rsidR="00FE2225" w:rsidRPr="007E154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и дорожных сооружений Кыргызской Респуб</w:t>
      </w:r>
      <w:r w:rsidR="00FE2225" w:rsidRPr="007E1547">
        <w:rPr>
          <w:rFonts w:ascii="Times New Roman" w:hAnsi="Times New Roman" w:cs="Times New Roman"/>
          <w:sz w:val="28"/>
          <w:szCs w:val="28"/>
          <w:lang w:eastAsia="ru-RU"/>
        </w:rPr>
        <w:t>лики, утвержденного приказом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CE1A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от 02.05.2017 г. № 162, в рамках делегированных полномочий. Обязательному учету данных основных критериев оценки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автомобильной дороги для включения в план дорожных работ будет уделяться особое внимание. Данное мероприятие должно стабильно финансироваться. При этом результаты обязательных мониторинговых и</w:t>
      </w:r>
      <w:r w:rsidR="00FE2225" w:rsidRPr="007E1547">
        <w:rPr>
          <w:rFonts w:ascii="Times New Roman" w:hAnsi="Times New Roman" w:cs="Times New Roman"/>
          <w:sz w:val="28"/>
          <w:szCs w:val="28"/>
          <w:lang w:eastAsia="ru-RU"/>
        </w:rPr>
        <w:t>сследовательских работ каждые 5–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6 лет по дорожной сети станут основой </w:t>
      </w:r>
      <w:r w:rsidR="00FE2225" w:rsidRPr="007E1547">
        <w:rPr>
          <w:rFonts w:ascii="Times New Roman" w:hAnsi="Times New Roman" w:cs="Times New Roman"/>
          <w:sz w:val="28"/>
          <w:szCs w:val="28"/>
          <w:lang w:eastAsia="ru-RU"/>
        </w:rPr>
        <w:t>оценки дорожной деятельности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 для корректировки технической политики и принятия соответствующих необходимых мер.</w:t>
      </w:r>
    </w:p>
    <w:p w:rsidR="008F1538" w:rsidRPr="007E1547" w:rsidRDefault="008F1538" w:rsidP="007E1547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Обеспечение сохранности автомобильных дорог.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На строительство и ремонт автомобильных дорог затрачиваются значительные средства, и одной из основных задач в дорожной отрасли должно быть обеспечение ее сохранности, что также тесно взаимосвязано с безопасностью движения транспортных средств по автомобильным дорогам. Создана и функционирует достаточно обширная нормативная правовая база, регулирующая деятельность в данной области: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нормы, запрещающие проезд транспортных средств, превышающих допустимые нормы по общей массе, осевым нагрузкам и другим линейным параметрам предусмотрены Законом Кыргызской Республики «Об автомобильных дорогах»;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ответственность пользователей дорог за превышение весогабаритных параметров регулируется Кодексом Кыргызской Республики </w:t>
      </w:r>
      <w:r w:rsidR="00721C90">
        <w:rPr>
          <w:rFonts w:ascii="Times New Roman" w:hAnsi="Times New Roman" w:cs="Times New Roman"/>
          <w:sz w:val="28"/>
          <w:szCs w:val="28"/>
          <w:lang w:val="ky-KG" w:eastAsia="ru-RU"/>
        </w:rPr>
        <w:t>о</w:t>
      </w:r>
      <w:r w:rsidR="00721C90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правонарушениях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1538" w:rsidRPr="007E1547" w:rsidRDefault="008F1538" w:rsidP="007E1547">
      <w:pPr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допустимые ограничения весогабаритных параметров и порядок взимания сборов за взвешивание транспортных средств регулируются постановлением Правительства Кыргызской Республики «Об утверждении Порядка пропуска транспортных средств по автомобильным дорогам общего пользования Кыргызской Республики и взимания сборов за взвешивание и измерение максимальных размеров и других линейных параметров транспортных средств с превышающими нормами, установленными для проезда по автомобильным дорогам общего пользования Кыргызской Республики и Порядка пропуска и взимания сборов за проезд транспортных средств со специальным и неделимым грузом по автомобильным дорогам общего пользования Кыргызской Республики» от 8 августа 2011 года № 454.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Несмотря на данную нормативную правовую базу, которая затрагивает и регулирует практически все вопросы, возникающие при осуществлении деятельности по обеспечению сохранности автомобильных дорог, остается еще много проблем прежде всего </w:t>
      </w:r>
      <w:r w:rsidR="00721C90">
        <w:rPr>
          <w:rFonts w:ascii="Times New Roman" w:hAnsi="Times New Roman" w:cs="Times New Roman"/>
          <w:sz w:val="28"/>
          <w:szCs w:val="28"/>
          <w:lang w:eastAsia="ru-RU"/>
        </w:rPr>
        <w:t>по соблюдению законодательства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со стороны пользователей автодорогами. Так, в 2018 году составлено 195 актов за превышение установленных допустимых весогабаритных параметров за возмещение вреда и ущерба, причиняемого автомобильным дорогам общего поль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>зования, за 2019 год – 484 акта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, в 2020 году – 2 851 акт.  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решения данных проблем политика М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будет направлена на полную автоматизацию процессов взвешивания и взимания платы за взвешивание транспортных средств, а также на внедрение автоматического   штрафования за превышение установленных допустимых норм весогабаритных параметров транспортных средств для проезда по автомобильным дорогам общего пользования. 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К 2025 году количество автоматизированных пунктов весогабаритного контроля будет доведено до 42 единиц. Данную инициативу планируется реализовать как проект ГЧП.  </w:t>
      </w:r>
    </w:p>
    <w:p w:rsidR="008F1538" w:rsidRPr="007E1547" w:rsidRDefault="008F1538" w:rsidP="007E1547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местных сообществ на ремонт и содержание 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>местных автомобильных дорог.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будут изучены и внедрены наиболее эффективные формы взаимодействия с местными сообществами по ремонту и содержанию автодорог местного значения. Автомобильные дороги с асфальтобетонным покрытием требуют наиболее квалифицированного персонала и технологичного современного оборудования, поэтому местные сообщества будут привлекаться только для автомобильных дорог с гравийным покрытием и для грунтовых автодорог местного значения. Возможность использования местных песчано-гравийных смесей при производстве дорожно-строительных работ позволит уменьшить стоимость сырья в стоимости дорожных работ. </w:t>
      </w:r>
    </w:p>
    <w:p w:rsidR="008F1538" w:rsidRPr="007E1547" w:rsidRDefault="008F1538" w:rsidP="007E1547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интеллектуальных информационных систем.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содействии АБР была разработана система управления дорожными активами 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СУДА)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– программное приложение, которое включает в себя:  </w:t>
      </w:r>
    </w:p>
    <w:p w:rsidR="008F1538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– разработку сбора данных;</w:t>
      </w:r>
    </w:p>
    <w:p w:rsidR="008F1538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– интеграцию СУДА с процессом формирования бюджета; </w:t>
      </w:r>
    </w:p>
    <w:p w:rsidR="008F1538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– повышение прозрачности планирования и бюджетирования содержания дорог; </w:t>
      </w:r>
    </w:p>
    <w:p w:rsidR="008F1538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– интеграцию дорожной безопасности движения в СУДА;</w:t>
      </w:r>
    </w:p>
    <w:p w:rsidR="008F1538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– закупку или обновление программного и аппаратного обеспечения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включая связующие/переходные элементы в СУДА; </w:t>
      </w:r>
    </w:p>
    <w:p w:rsidR="008F1538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3576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улучшение интеграции между управлением дорожными активами и информационной системой.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Требования по использованию СУДА в деятельности по планированию ремонта и содержанию автомобильных дорог общего пользования должны стать обязательными для исполнения дорожными органами путем включения их в положения Закона</w:t>
      </w:r>
      <w:r w:rsidR="00B31468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Кыргызской Республики «Об автомобильных дорогах»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F1538" w:rsidRPr="007E1547" w:rsidRDefault="008F1538" w:rsidP="007E1547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КОР.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Кыргызская Республика вложила значительные средства в работы по реабилитации сети дорог. При этом для достижения устойчивого состояния дорог содержание должно быть эффективным. Выполнение одновременно задач по обеспечению финансирования содержания и 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эффективного содержания на практике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демонстрирует свою эффективность. Международными исследованиями было рекомендовано внести изменения в систему управления содержанием дорог путем заключения КОР. В процессе торгов подрядчики будут конкурировать друг с другом, предлагая фиксированные единовременные цены на работы по доведению дорог до определенного уровня содержания и последующему содержанию на этом уровне в течение относительно длительного периода времени. Оплата подрядчику осуществляется не за затраты на производство работ или физические работы, а за достижение определенных уровней содержания, то есть за содержание дороги на заранее определенных уровнях. Услуги по содержанию обеспечивают определенный уровень услуг на дорогах по контракту, который отражает итоги или результаты. Начиная с 2016 года при финансовой поддержке АБР</w:t>
      </w:r>
      <w:r w:rsidR="00ED75A0" w:rsidRPr="007E15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реализован пилотный контракт на участке автодороги Бишкек – Ош с 80 по 133 км. На основе выводов и опыта, накопленного в ходе пилотного проекта, будет принято решение об использовании данного вида контракта на содержание дорог за счет средств республиканского бюджета.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 в связи с ухудшением состояния участка автодороги Бишкек – Ош с 133 км по 160 км и недостаточностью средств республиканского бюджета на его восстановление планируется передать данный участок на содержание по принципу КОР при финансовом содействии АБР.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этом, управляя дорожной</w:t>
      </w:r>
      <w:r w:rsidR="00111840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сетью от имени государства,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К будет заключать ежегодные Соглашения о качестве услуг, в которых будут определены задачи дорожной сети по отношению к пользователям дорог и общий бюджет, выделяемый на содержание.  </w:t>
      </w:r>
    </w:p>
    <w:p w:rsidR="008F1538" w:rsidRPr="007E1547" w:rsidRDefault="008F1538" w:rsidP="007E1547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Задача по улучшению контроля качества при выполнении дорожных работ включает в себя следующие меры</w:t>
      </w:r>
      <w:r w:rsidR="00111840" w:rsidRPr="007E15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1538" w:rsidRPr="007E1547" w:rsidRDefault="008F1538" w:rsidP="007E1547">
      <w:pPr>
        <w:pStyle w:val="a5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Применение усовершенствованных стандартов проектирования и эксплуатации автомобильных дорог.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интенсивности движения большегрузных автомобилей (с осевыми нагрузками, превышающими расчетные), автопоездов и автобусов на автомобильных дорогах привело к существенному увеличению изнашивающего и разрушающего воздействия автомобилей на дороги и дорожные сооружения, сокращению межремонтных сроков.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сооружений, разработки и применения в этих целях новых технических норм, прогрессивных технических решений, дорожных технологий и материалов, отвечающих современным потребностям. В этих условиях развитие инновационной деятельности в дорожном хозяйстве приобрело особую актуальность.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 республике затраты на проведение научно-исследовательских и опытно-конструкторских работ в дорожном хозяйстве практически не предусматриваются. Разработка документации инновационного характера строительного профиля пока не налажена. Дорожные органы, проектные и подрядные организации не рассматривают применение инноваций в качестве одной из приоритетных задач своей практической деятельности, что негативно отражается на эффективности дорожных работ, темпах и стоимости дорожного строительства. Отсутствует перечень технологий дорожного хозяйства, обеспечивающий эффективное планирование инновационной деятельности на объектах строительства, ремонта и содержания дорог.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тем применение усовершенствованных стандартов проектирования и эксплуатации автомобильных дорог, долговечных дорожных конструкций и материалов, новых образцов высокопроизводительной дорожной техники и соответствующих технологий позволяет оптимизировать стоимость и сроки объектов строительства, обеспечивает увеличение межремонтных сроков и улучшает потребительские свойства автомобильных дорог, улучшает качество их содержания. Международный опыт показывает, что широкомасштабное использование инноваций при эксплуатации автомобильных дорог позволяет обеспечить их приведение к нормативному состоянию даже в условиях жестких финансовых ограничений.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Таким образом, развитие инновационной деятельности в дорожном хозяйстве следует рассматривать в качестве одного из важнейших системообразующих факторов, имеющих тесную связь с основными элементами транспортной экономики и социальной сферы.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Дорожное строительство создает мультипликативный эффект не только в смежных областях, но и является стимулом к развитию многих отраслей экономики за счет качественного улучшения транспортной инфраструктуры.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При этом необходимо продолжать проведение контроля в соответствии с Положением об обеспечении системности контроля качества работ при строительстве, реконструкции и ремонте автомобильных дорог общего пользо</w:t>
      </w:r>
      <w:r w:rsidR="00111840" w:rsidRPr="007E1547">
        <w:rPr>
          <w:rFonts w:ascii="Times New Roman" w:hAnsi="Times New Roman" w:cs="Times New Roman"/>
          <w:sz w:val="28"/>
          <w:szCs w:val="28"/>
          <w:lang w:eastAsia="ru-RU"/>
        </w:rPr>
        <w:t>вания, утвержденным приказом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 от 4 мая 2017 года № 165, при соблюдении предусмотренных им следующих этапов по организации взаимодействия участников строительства: входно</w:t>
      </w:r>
      <w:r w:rsidR="00111840" w:rsidRPr="007E1547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 w:rsidR="00111840" w:rsidRPr="007E154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дорожно-строительных материалов, контроля графика реализации проекта, комплексного геодезического контроля работ, входного строительного контроля, контрол</w:t>
      </w:r>
      <w:r w:rsidR="00111840" w:rsidRPr="007E154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проектных решений.</w:t>
      </w:r>
    </w:p>
    <w:p w:rsidR="008F1538" w:rsidRPr="007E1547" w:rsidRDefault="008F1538" w:rsidP="007E1547">
      <w:pPr>
        <w:pStyle w:val="a5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технических средств.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современных технических средств для нужд дорожной отрасли, в основном, продиктовано необходимостью повышения эффективности использования выделяемых бюджетных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средств, контроля за использованием дорожной техники и оборудования и повышением мобильности дорожных служб при чрезвычайных ситуациях.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Пилотный проект по контролю над использованием дорожной техники был внедрен в </w:t>
      </w:r>
      <w:r w:rsidR="00B05DCB" w:rsidRPr="007E154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осударственной дирекции автодороги </w:t>
      </w:r>
      <w:r w:rsidR="00616967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Бишкек – Ош. На дорожной технике и грузовых автомобилях установлены датчики GPS. По предварительным данным данные меры уже дают результаты в виде экономии топлива в размере 10 %.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Также на 80 км автодороги Бишкек – Ош установлены датчики автоматического подсчета интенсивности движения автотранспортных средств, что повысило сборы за проезд через тоннели по автодороге Бишкек</w:t>
      </w:r>
      <w:r w:rsidR="00111840"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Ош на 26–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28 %.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проведена комплексная программа по обновлению стандартов и норм, применяемых в отрасли, чтобы модернизировать и разработать более долговечные и экономичные проекты и особенно покрытия.</w:t>
      </w:r>
    </w:p>
    <w:p w:rsidR="008F1538" w:rsidRPr="007E1547" w:rsidRDefault="00111840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В этой связи МТ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К изучит: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применение щебеночно-мастичной смеси и других современных асфальтобетонных покрытий для увеличения несущей способности и долговечности;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– пересмотр допустимых осевых нагрузок и методов контроля;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– исследование и развитие новых технологий по цементобетонным покрытиям дорожной одежды автомобильных дорог;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– исследование и разработку новых технологий проектирования и строительства мостов из предварительно напряженного бетона с пролетом более 20 м;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внедрение технологий по предотвращению чрезвычайных ситуаций на участках международных дорог, где ведутся реабилитационные работы.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Будут предприняты меры по внедрению и развитию технических средств контроля в следующих работах: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– подсчет интенсивности движения автотранспортных средств на международных автотранспортных коридорах и некоторых участках автомобильных дорог государственного значения;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измерение технических параметров состояния автомобильных дорог;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контроль использования дорожной техники и оборудования;</w:t>
      </w:r>
    </w:p>
    <w:p w:rsidR="008F1538" w:rsidRPr="007E1547" w:rsidRDefault="008F1538" w:rsidP="007E1547">
      <w:pPr>
        <w:pStyle w:val="a5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регистрация сообщений пользователей дорог о состоянии автодорог;</w:t>
      </w:r>
    </w:p>
    <w:p w:rsidR="008F1538" w:rsidRPr="007E1547" w:rsidRDefault="007526FE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– контроль весогабаритных параметров автотранспортных средств путем обновления систем взвешивания в движении и других новых технологий, в том числе контроль передвижными средствами весогабаритных параметров автотранспортных средств;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взимание сборов с пользователей дорог;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– перевод процедуры согласования и выдачи специальных разрешений на перевозку неделимых крупногабаритных и тяжеловесных грузов автотранспортными средствами в цифровой формат;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внедрение системы содержания мостов и тоннелей, разработанной и рекомендованной в рамках технической помощи проекта Японского агентства международного сотрудничества «Наращивание потенциала в управлении содержанием мостов и тоннелей в Кыргызской Республике»;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создание условий для развития рынка национальных консультантов в дорожной отрасли уровня, способного покрыть местные потребности в подготовке качественных проектных документов, в том числе для осуществления надзора за работами в каждом регионе.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 2025 году планируется полностью оснастить датчиками GPS основные виды дорожно-строительной техники и оборудования.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На внедрение и развитие технических средств планируется ежегодно направлять средства в размере до 1,5 % средств, выделяемых на ремонт и содержание автомобильных дорог общего пользования.</w:t>
      </w:r>
    </w:p>
    <w:p w:rsidR="008F1538" w:rsidRPr="007E1547" w:rsidRDefault="008F1538" w:rsidP="007E1547">
      <w:pPr>
        <w:tabs>
          <w:tab w:val="left" w:pos="993"/>
          <w:tab w:val="left" w:pos="1134"/>
          <w:tab w:val="left" w:pos="3402"/>
          <w:tab w:val="left" w:pos="354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Задача по разработке минимального набора показателей безопасности дорожного движения с учетом международной практики аудита безопасности дорожного движения включает в себя следующие меры</w:t>
      </w:r>
      <w:r w:rsidR="00FF3576" w:rsidRPr="007E15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дорожного движения – это многосекторальная проблема, охватывающая не только транспорт, но и здравоохранение, образование, внутренние дела, финансы и другие. Следовательно, для эффективного решения этой проблемы требуется совместный и скоординированный подход. С этой целью должна быть разработана отдельная стратегия безопасности дорожного движения, основанная на подходе к безопасным системам, согласованная с настоящей стратегией.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Политика по повышению безопасности движения на автомобильных дорогах осуществлялась в соответствии с Программой по безопасн</w:t>
      </w:r>
      <w:r w:rsidR="00FF3576" w:rsidRPr="007E1547">
        <w:rPr>
          <w:rFonts w:ascii="Times New Roman" w:hAnsi="Times New Roman" w:cs="Times New Roman"/>
          <w:sz w:val="28"/>
          <w:szCs w:val="28"/>
          <w:lang w:eastAsia="ru-RU"/>
        </w:rPr>
        <w:t>ости дорожного движения на 2015–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2020 годах, одобре</w:t>
      </w:r>
      <w:r w:rsidR="007526FE" w:rsidRPr="007E1547">
        <w:rPr>
          <w:rFonts w:ascii="Times New Roman" w:hAnsi="Times New Roman" w:cs="Times New Roman"/>
          <w:sz w:val="28"/>
          <w:szCs w:val="28"/>
          <w:lang w:eastAsia="ru-RU"/>
        </w:rPr>
        <w:t>нной постановлением коллегии МТ</w:t>
      </w:r>
      <w:r w:rsidRPr="007E1547">
        <w:rPr>
          <w:rFonts w:ascii="Times New Roman" w:hAnsi="Times New Roman" w:cs="Times New Roman"/>
          <w:sz w:val="28"/>
          <w:szCs w:val="28"/>
          <w:lang w:eastAsia="ru-RU"/>
        </w:rPr>
        <w:t>К от 12 декабря 2014 года № 32.</w:t>
      </w:r>
    </w:p>
    <w:p w:rsidR="008F1538" w:rsidRPr="007E1547" w:rsidRDefault="007526FE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МТ</w:t>
      </w:r>
      <w:r w:rsidR="008F1538" w:rsidRPr="007E1547">
        <w:rPr>
          <w:rFonts w:ascii="Times New Roman" w:hAnsi="Times New Roman" w:cs="Times New Roman"/>
          <w:sz w:val="28"/>
          <w:szCs w:val="28"/>
          <w:lang w:eastAsia="ru-RU"/>
        </w:rPr>
        <w:t>К продолжает принимать меры по предотвращению чрезвычайных ситуаций на дорогах, таких как оползни, камнепады, лавины, снежные заносы и т.п., в рамках различных проектов совместно с Японским агентством международного сотрудничества.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>При этом необходимо: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разработать общую базу данных по безопасности дорожного движения;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воспроизвести международную практику аудита безопасности дорожного движения;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– адаптировать национальные стандарты безопасности дорожного движения к лучшим международным практикам;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  <w:lang w:eastAsia="ru-RU"/>
        </w:rPr>
        <w:t xml:space="preserve"> – принимать участие в совместных региональных опросах и исследованиях, а также делиться и продвигать передовой опыт, в том числе в отношении национальной и региональной политики и стратегий в области безопасности дорожного движения.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6. Ожидаемые результаты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1538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ОНРДО</w:t>
      </w:r>
      <w:r w:rsidR="001A5D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F1538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2030 даст положительную тенденцию в развитии отрасли.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частности, преобразования в дорожной отрасли позволят добиться: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интеграции национальной транспортной сети в международную транспортную сеть и, как следствие, выхода национальных товаров и услуг на международные рынки;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прозрачности и эффективности в использовании бюджетных средств путем разграничения функции заказчика и подрядчика и инженера по техническому надзору;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улучшения эксплуатационных показателей транспортной сети республики;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повышения условий труда сотрудников дорожной отрасли.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Недостаточное производство работ по текущему ремонту и содержанию автодорог приводит к необходимости реабилитации автодорог, что, как известно</w:t>
      </w:r>
      <w:r w:rsidR="007526FE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требует существенных затрат. Достаточное финансирование дорожной отрасли позволит сохранить их состояние на требуемом нормативном уровне.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Внедрение СУДА позволит эффективно и согласно </w:t>
      </w:r>
      <w:r w:rsidR="00E05D40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приоритетности,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осуществлять работы по ремонту и содержанию дорог.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Постепенное введение КОР даст возможность не только содержать дороги в пределах имеющихся бюджетных средств, но и даст импульс к развитию местных дорожно-строительных компаний для дальнейшего наращивания их потенциала в целях </w:t>
      </w:r>
      <w:r w:rsidRPr="007E1547">
        <w:rPr>
          <w:rFonts w:ascii="Times New Roman" w:hAnsi="Times New Roman" w:cs="Times New Roman"/>
          <w:sz w:val="28"/>
          <w:szCs w:val="28"/>
        </w:rPr>
        <w:t>участия в международных проектах, повышения потенциала консультационных услуг.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Качественные автомобильные дороги позволят значительно повысить безопасность дорожного движения, развивать придорожный сервис, создавая новые рабочие места, тем самым оказывая позитивное воздействие на социально-экономическое положение населения.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свою очередь, достаточное финансирование дорожной отрасли позволит выполнить объемы работ, установленные </w:t>
      </w:r>
      <w:r w:rsidR="0009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НСР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Успешная реализация инвестиционных проектов в дорожной отрасли позволит сохранить и развить сеть международных </w:t>
      </w:r>
      <w:r w:rsidR="00091D4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91D4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транспортных коридоров, что окажет прямое влияние на качество жизни населения. Так к 2030 году планируется реабилитировать 893 км (на стадии реализации </w:t>
      </w:r>
      <w:r w:rsidR="007526FE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412 км, планируемые – 481 км) международных транспортных коридоров.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ГЧП в дорожной отрасли будет содействовать изысканию дополнительных источников финансирования дорожного хозяйства и снижению нагрузки на бюджет страны.</w:t>
      </w:r>
    </w:p>
    <w:p w:rsidR="00616967" w:rsidRPr="007E1547" w:rsidRDefault="00616967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7. Благоприятные предпосылки и риски</w:t>
      </w:r>
    </w:p>
    <w:p w:rsidR="00616967" w:rsidRPr="007E1547" w:rsidRDefault="00616967" w:rsidP="007E1547">
      <w:pPr>
        <w:tabs>
          <w:tab w:val="left" w:pos="993"/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F1538" w:rsidRPr="007E1547" w:rsidRDefault="00730BB1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09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1538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настоящее время реализуются инвестиционные проекты по реабилитации автомобильных дорог, проводятся работы по обеспечению транспортной независимости страны, сохранности и улучшению внутренней сети автомобильных дорог.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плана действий по устранению препятствий для развития торговли и транспортного сообщения ЦАРЭС в настоящее время реабилитируются международные транспортные коридоры: автодорога Ош – Баткен – Исфана, Бишкек – Ош, ведется строительство альтернативной дороги Север – Юг, Суусамыр – Талас – Тараз и др.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принятием </w:t>
      </w:r>
      <w:hyperlink r:id="rId8" w:history="1">
        <w:r w:rsidRPr="007E154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E376D3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 Республик</w:t>
      </w:r>
      <w:r w:rsidR="001D3271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376D3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5D40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376D3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26FE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государственно-частном партнерстве</w:t>
      </w:r>
      <w:r w:rsidR="00E376D3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который регулирует области применения, взаимоотношени</w:t>
      </w:r>
      <w:r w:rsidR="00E376D3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 и частного сектора и</w:t>
      </w:r>
      <w:r w:rsidR="007526FE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другие аспекты партнерства, МТ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продолжит работу по продвижению данных проектов. </w:t>
      </w:r>
    </w:p>
    <w:p w:rsidR="008F1538" w:rsidRPr="007E1547" w:rsidRDefault="008F1538" w:rsidP="007E1547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рисками при реализац</w:t>
      </w:r>
      <w:r w:rsidR="007526FE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целей ОНРДО</w:t>
      </w:r>
      <w:r w:rsidR="001A5D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2030 являются:</w:t>
      </w:r>
    </w:p>
    <w:p w:rsidR="008F1538" w:rsidRPr="007E1547" w:rsidRDefault="00733963" w:rsidP="007E1547">
      <w:pPr>
        <w:tabs>
          <w:tab w:val="left" w:pos="993"/>
          <w:tab w:val="left" w:pos="1134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F1538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долгая процедура утверждения проектов НПА;</w:t>
      </w:r>
    </w:p>
    <w:p w:rsidR="00733963" w:rsidRDefault="00733963" w:rsidP="007E1547">
      <w:pPr>
        <w:tabs>
          <w:tab w:val="left" w:pos="993"/>
          <w:tab w:val="left" w:pos="1134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F1538"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сложности по переходу работы дорожных организац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 в условиях свободного рынка;</w:t>
      </w:r>
    </w:p>
    <w:p w:rsidR="008F1538" w:rsidRPr="007E1547" w:rsidRDefault="008F1538" w:rsidP="007E1547">
      <w:pPr>
        <w:tabs>
          <w:tab w:val="left" w:pos="993"/>
          <w:tab w:val="left" w:pos="1134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противостояние антикоррупционной борьбе, проводимой в рамках государственной политики;</w:t>
      </w:r>
    </w:p>
    <w:p w:rsidR="008F1538" w:rsidRPr="007E1547" w:rsidRDefault="00733963" w:rsidP="007E1547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538" w:rsidRPr="007E1547">
        <w:rPr>
          <w:rFonts w:ascii="Times New Roman" w:hAnsi="Times New Roman" w:cs="Times New Roman"/>
          <w:sz w:val="28"/>
          <w:szCs w:val="28"/>
        </w:rPr>
        <w:t xml:space="preserve"> – постоянное снижение квалификации профессионалов дорожной отрасли. </w:t>
      </w:r>
    </w:p>
    <w:p w:rsidR="009E1789" w:rsidRDefault="008F1538" w:rsidP="009E1789">
      <w:pPr>
        <w:tabs>
          <w:tab w:val="left" w:pos="993"/>
          <w:tab w:val="left" w:pos="1134"/>
        </w:tabs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hAnsi="Times New Roman" w:cs="Times New Roman"/>
          <w:sz w:val="28"/>
          <w:szCs w:val="28"/>
        </w:rPr>
        <w:t xml:space="preserve">Необходимо уделять постоянное внимание мерам по поддержанию кадрового </w:t>
      </w:r>
      <w:r w:rsidR="007526FE" w:rsidRPr="007E1547">
        <w:rPr>
          <w:rFonts w:ascii="Times New Roman" w:hAnsi="Times New Roman" w:cs="Times New Roman"/>
          <w:sz w:val="28"/>
          <w:szCs w:val="28"/>
        </w:rPr>
        <w:t xml:space="preserve">потенциала в отрасли </w:t>
      </w:r>
      <w:r w:rsidRPr="007E1547">
        <w:rPr>
          <w:rFonts w:ascii="Times New Roman" w:hAnsi="Times New Roman" w:cs="Times New Roman"/>
          <w:sz w:val="28"/>
          <w:szCs w:val="28"/>
        </w:rPr>
        <w:t>при условии развития ПИЦ как центра передового опыта; поддержк</w:t>
      </w:r>
      <w:r w:rsidR="00B05DCB" w:rsidRPr="007E1547">
        <w:rPr>
          <w:rFonts w:ascii="Times New Roman" w:hAnsi="Times New Roman" w:cs="Times New Roman"/>
          <w:sz w:val="28"/>
          <w:szCs w:val="28"/>
        </w:rPr>
        <w:t>е</w:t>
      </w:r>
      <w:r w:rsidRPr="007E1547">
        <w:rPr>
          <w:rFonts w:ascii="Times New Roman" w:hAnsi="Times New Roman" w:cs="Times New Roman"/>
          <w:sz w:val="28"/>
          <w:szCs w:val="28"/>
        </w:rPr>
        <w:t xml:space="preserve"> академических кругов, а также мерам по развитию частного сектора и местных подрядчиков, поскольку это является предварительным условием для тиражирования КОР, участи</w:t>
      </w:r>
      <w:r w:rsidR="00B05DCB" w:rsidRPr="007E1547">
        <w:rPr>
          <w:rFonts w:ascii="Times New Roman" w:hAnsi="Times New Roman" w:cs="Times New Roman"/>
          <w:sz w:val="28"/>
          <w:szCs w:val="28"/>
        </w:rPr>
        <w:t>ю</w:t>
      </w:r>
      <w:r w:rsidRPr="007E1547">
        <w:rPr>
          <w:rFonts w:ascii="Times New Roman" w:hAnsi="Times New Roman" w:cs="Times New Roman"/>
          <w:sz w:val="28"/>
          <w:szCs w:val="28"/>
        </w:rPr>
        <w:t xml:space="preserve"> местных подрядчик</w:t>
      </w:r>
      <w:r w:rsidR="00FE7DD3" w:rsidRPr="007E1547">
        <w:rPr>
          <w:rFonts w:ascii="Times New Roman" w:hAnsi="Times New Roman" w:cs="Times New Roman"/>
          <w:sz w:val="28"/>
          <w:szCs w:val="28"/>
        </w:rPr>
        <w:t xml:space="preserve">ов в международных проектах и </w:t>
      </w:r>
      <w:r w:rsidRPr="007E1547">
        <w:rPr>
          <w:rFonts w:ascii="Times New Roman" w:hAnsi="Times New Roman" w:cs="Times New Roman"/>
          <w:sz w:val="28"/>
          <w:szCs w:val="28"/>
        </w:rPr>
        <w:t>улучшени</w:t>
      </w:r>
      <w:r w:rsidR="00B05DCB" w:rsidRPr="007E1547">
        <w:rPr>
          <w:rFonts w:ascii="Times New Roman" w:hAnsi="Times New Roman" w:cs="Times New Roman"/>
          <w:sz w:val="28"/>
          <w:szCs w:val="28"/>
        </w:rPr>
        <w:t>ю</w:t>
      </w:r>
      <w:r w:rsidRPr="007E1547">
        <w:rPr>
          <w:rFonts w:ascii="Times New Roman" w:hAnsi="Times New Roman" w:cs="Times New Roman"/>
          <w:sz w:val="28"/>
          <w:szCs w:val="28"/>
        </w:rPr>
        <w:t xml:space="preserve"> возможностей трудоустройства для местных дорожных инже</w:t>
      </w:r>
      <w:r w:rsidR="00184777" w:rsidRPr="007E1547">
        <w:rPr>
          <w:rFonts w:ascii="Times New Roman" w:hAnsi="Times New Roman" w:cs="Times New Roman"/>
          <w:sz w:val="28"/>
          <w:szCs w:val="28"/>
        </w:rPr>
        <w:t>неров, консультантов и рабочих.</w:t>
      </w:r>
    </w:p>
    <w:p w:rsidR="009E1789" w:rsidRDefault="009E1789" w:rsidP="009E1789">
      <w:pPr>
        <w:tabs>
          <w:tab w:val="left" w:pos="993"/>
          <w:tab w:val="left" w:pos="1134"/>
        </w:tabs>
        <w:spacing w:before="100" w:beforeAutospacing="1" w:after="100" w:afterAutospacing="1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72414" w:rsidRDefault="008F1538" w:rsidP="009E1789">
      <w:pPr>
        <w:tabs>
          <w:tab w:val="left" w:pos="993"/>
          <w:tab w:val="left" w:pos="1134"/>
        </w:tabs>
        <w:spacing w:before="100" w:beforeAutospacing="1" w:after="100" w:afterAutospacing="1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E15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8. Список приложений</w:t>
      </w:r>
    </w:p>
    <w:tbl>
      <w:tblPr>
        <w:tblStyle w:val="a6"/>
        <w:tblpPr w:leftFromText="180" w:rightFromText="180" w:vertAnchor="page" w:horzAnchor="margin" w:tblpY="1721"/>
        <w:tblW w:w="8568" w:type="dxa"/>
        <w:tblLook w:val="04A0" w:firstRow="1" w:lastRow="0" w:firstColumn="1" w:lastColumn="0" w:noHBand="0" w:noVBand="1"/>
      </w:tblPr>
      <w:tblGrid>
        <w:gridCol w:w="4252"/>
        <w:gridCol w:w="4316"/>
      </w:tblGrid>
      <w:tr w:rsidR="00C64723" w:rsidRPr="007E1547" w:rsidTr="00C64723">
        <w:trPr>
          <w:trHeight w:val="735"/>
        </w:trPr>
        <w:tc>
          <w:tcPr>
            <w:tcW w:w="4252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4316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действий по реализации ОНРДО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E1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2030</w:t>
            </w:r>
          </w:p>
        </w:tc>
      </w:tr>
      <w:tr w:rsidR="00C64723" w:rsidRPr="007E1547" w:rsidTr="00C64723">
        <w:trPr>
          <w:trHeight w:val="755"/>
        </w:trPr>
        <w:tc>
          <w:tcPr>
            <w:tcW w:w="4252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4316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проектов, находящихся на стадии подготовки</w:t>
            </w:r>
          </w:p>
        </w:tc>
      </w:tr>
      <w:tr w:rsidR="00C64723" w:rsidRPr="007E1547" w:rsidTr="00C64723">
        <w:trPr>
          <w:trHeight w:val="1490"/>
        </w:trPr>
        <w:tc>
          <w:tcPr>
            <w:tcW w:w="4252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4316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приоритетных объектов для финансирования за счет государственных капитальных вложений</w:t>
            </w:r>
          </w:p>
        </w:tc>
      </w:tr>
      <w:tr w:rsidR="00C64723" w:rsidRPr="007E1547" w:rsidTr="00C64723">
        <w:trPr>
          <w:trHeight w:val="367"/>
        </w:trPr>
        <w:tc>
          <w:tcPr>
            <w:tcW w:w="4252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  <w:tc>
          <w:tcPr>
            <w:tcW w:w="4316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планируемых проектов </w:t>
            </w:r>
          </w:p>
        </w:tc>
      </w:tr>
      <w:tr w:rsidR="00C64723" w:rsidRPr="007E1547" w:rsidTr="00C64723">
        <w:trPr>
          <w:trHeight w:val="755"/>
        </w:trPr>
        <w:tc>
          <w:tcPr>
            <w:tcW w:w="4252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4316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Индикаторы оценки реализации ОНРДО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C64723" w:rsidRPr="007E1547" w:rsidTr="00C64723">
        <w:trPr>
          <w:trHeight w:val="347"/>
        </w:trPr>
        <w:tc>
          <w:tcPr>
            <w:tcW w:w="4252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4316" w:type="dxa"/>
          </w:tcPr>
          <w:p w:rsidR="00C64723" w:rsidRPr="007E1547" w:rsidRDefault="00C64723" w:rsidP="00C64723">
            <w:pPr>
              <w:tabs>
                <w:tab w:val="left" w:pos="993"/>
                <w:tab w:val="left" w:pos="1134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E1547">
              <w:rPr>
                <w:rFonts w:ascii="Times New Roman" w:hAnsi="Times New Roman" w:cs="Times New Roman"/>
                <w:sz w:val="28"/>
                <w:szCs w:val="28"/>
              </w:rPr>
              <w:t>Бюджет к Плану действий</w:t>
            </w:r>
          </w:p>
        </w:tc>
      </w:tr>
    </w:tbl>
    <w:p w:rsidR="009E1789" w:rsidRPr="007E1547" w:rsidRDefault="009E1789" w:rsidP="00C64723">
      <w:pPr>
        <w:tabs>
          <w:tab w:val="left" w:pos="993"/>
          <w:tab w:val="left" w:pos="1134"/>
        </w:tabs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1789" w:rsidRPr="007E1547" w:rsidSect="007E7169">
      <w:footerReference w:type="even" r:id="rId9"/>
      <w:footerReference w:type="default" r:id="rId10"/>
      <w:footerReference w:type="first" r:id="rId11"/>
      <w:type w:val="nextColumn"/>
      <w:pgSz w:w="11906" w:h="16838" w:code="9"/>
      <w:pgMar w:top="1134" w:right="1701" w:bottom="1134" w:left="1701" w:header="284" w:footer="284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CA" w:rsidRDefault="00324CCA" w:rsidP="00FE7DD3">
      <w:r>
        <w:separator/>
      </w:r>
    </w:p>
  </w:endnote>
  <w:endnote w:type="continuationSeparator" w:id="0">
    <w:p w:rsidR="00324CCA" w:rsidRDefault="00324CCA" w:rsidP="00F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944118"/>
      <w:docPartObj>
        <w:docPartGallery w:val="Page Numbers (Bottom of Page)"/>
        <w:docPartUnique/>
      </w:docPartObj>
    </w:sdtPr>
    <w:sdtEndPr/>
    <w:sdtContent>
      <w:p w:rsidR="00730BB1" w:rsidRDefault="00730B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0BB1" w:rsidRDefault="00730BB1" w:rsidP="002F03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872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30BB1" w:rsidRPr="007E7169" w:rsidRDefault="00730BB1">
        <w:pPr>
          <w:pStyle w:val="aa"/>
          <w:jc w:val="right"/>
          <w:rPr>
            <w:rFonts w:ascii="Times New Roman" w:hAnsi="Times New Roman" w:cs="Times New Roman"/>
            <w:sz w:val="28"/>
          </w:rPr>
        </w:pPr>
        <w:r w:rsidRPr="007E7169">
          <w:rPr>
            <w:rFonts w:ascii="Times New Roman" w:hAnsi="Times New Roman" w:cs="Times New Roman"/>
            <w:sz w:val="28"/>
          </w:rPr>
          <w:fldChar w:fldCharType="begin"/>
        </w:r>
        <w:r w:rsidRPr="007E7169">
          <w:rPr>
            <w:rFonts w:ascii="Times New Roman" w:hAnsi="Times New Roman" w:cs="Times New Roman"/>
            <w:sz w:val="28"/>
          </w:rPr>
          <w:instrText>PAGE   \* MERGEFORMAT</w:instrText>
        </w:r>
        <w:r w:rsidRPr="007E7169">
          <w:rPr>
            <w:rFonts w:ascii="Times New Roman" w:hAnsi="Times New Roman" w:cs="Times New Roman"/>
            <w:sz w:val="28"/>
          </w:rPr>
          <w:fldChar w:fldCharType="separate"/>
        </w:r>
        <w:r w:rsidR="00A8693B">
          <w:rPr>
            <w:rFonts w:ascii="Times New Roman" w:hAnsi="Times New Roman" w:cs="Times New Roman"/>
            <w:noProof/>
            <w:sz w:val="28"/>
          </w:rPr>
          <w:t>2</w:t>
        </w:r>
        <w:r w:rsidRPr="007E716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30BB1" w:rsidRPr="008E1311" w:rsidRDefault="00730BB1" w:rsidP="002525F9">
    <w:pPr>
      <w:pStyle w:val="aa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B1" w:rsidRDefault="00730BB1">
    <w:pPr>
      <w:pStyle w:val="aa"/>
      <w:jc w:val="right"/>
    </w:pPr>
  </w:p>
  <w:p w:rsidR="00730BB1" w:rsidRPr="008E1311" w:rsidRDefault="00730BB1" w:rsidP="002525F9">
    <w:pPr>
      <w:pStyle w:val="aa"/>
      <w:jc w:val="right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CA" w:rsidRDefault="00324CCA" w:rsidP="00FE7DD3">
      <w:r>
        <w:separator/>
      </w:r>
    </w:p>
  </w:footnote>
  <w:footnote w:type="continuationSeparator" w:id="0">
    <w:p w:rsidR="00324CCA" w:rsidRDefault="00324CCA" w:rsidP="00F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0776"/>
    <w:multiLevelType w:val="hybridMultilevel"/>
    <w:tmpl w:val="AED80FF4"/>
    <w:lvl w:ilvl="0" w:tplc="6810B1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F23BE"/>
    <w:multiLevelType w:val="hybridMultilevel"/>
    <w:tmpl w:val="C8A62F1E"/>
    <w:lvl w:ilvl="0" w:tplc="E556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0072F"/>
    <w:multiLevelType w:val="hybridMultilevel"/>
    <w:tmpl w:val="7B503004"/>
    <w:lvl w:ilvl="0" w:tplc="BE72A6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20128E"/>
    <w:multiLevelType w:val="hybridMultilevel"/>
    <w:tmpl w:val="33604E98"/>
    <w:lvl w:ilvl="0" w:tplc="8CA2970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7EC17CD"/>
    <w:multiLevelType w:val="hybridMultilevel"/>
    <w:tmpl w:val="46A6B7E4"/>
    <w:lvl w:ilvl="0" w:tplc="AE30E2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F80DEE"/>
    <w:multiLevelType w:val="hybridMultilevel"/>
    <w:tmpl w:val="902C62DE"/>
    <w:lvl w:ilvl="0" w:tplc="144E73B6">
      <w:start w:val="1"/>
      <w:numFmt w:val="decimal"/>
      <w:lvlText w:val="%1"/>
      <w:lvlJc w:val="left"/>
      <w:pPr>
        <w:ind w:left="164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6" w15:restartNumberingAfterBreak="0">
    <w:nsid w:val="0BD768B2"/>
    <w:multiLevelType w:val="hybridMultilevel"/>
    <w:tmpl w:val="63AEA4C4"/>
    <w:lvl w:ilvl="0" w:tplc="985807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A49CA"/>
    <w:multiLevelType w:val="hybridMultilevel"/>
    <w:tmpl w:val="FD1A93F8"/>
    <w:lvl w:ilvl="0" w:tplc="15C8E4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85F56"/>
    <w:multiLevelType w:val="hybridMultilevel"/>
    <w:tmpl w:val="FD4CEF5A"/>
    <w:lvl w:ilvl="0" w:tplc="E0B89C2E">
      <w:start w:val="1"/>
      <w:numFmt w:val="decimal"/>
      <w:lvlText w:val="%1)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135725D3"/>
    <w:multiLevelType w:val="hybridMultilevel"/>
    <w:tmpl w:val="25F45FF6"/>
    <w:lvl w:ilvl="0" w:tplc="0D665E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785415"/>
    <w:multiLevelType w:val="hybridMultilevel"/>
    <w:tmpl w:val="E18A1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1539F4"/>
    <w:multiLevelType w:val="hybridMultilevel"/>
    <w:tmpl w:val="F334B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A5F3C"/>
    <w:multiLevelType w:val="hybridMultilevel"/>
    <w:tmpl w:val="AEEE6F06"/>
    <w:lvl w:ilvl="0" w:tplc="021AE88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7E27AA2"/>
    <w:multiLevelType w:val="hybridMultilevel"/>
    <w:tmpl w:val="F9083E66"/>
    <w:lvl w:ilvl="0" w:tplc="62861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6E6DC0"/>
    <w:multiLevelType w:val="hybridMultilevel"/>
    <w:tmpl w:val="96A83C0C"/>
    <w:lvl w:ilvl="0" w:tplc="1F207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055018"/>
    <w:multiLevelType w:val="hybridMultilevel"/>
    <w:tmpl w:val="AECC6FEC"/>
    <w:lvl w:ilvl="0" w:tplc="B254F21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0790623"/>
    <w:multiLevelType w:val="hybridMultilevel"/>
    <w:tmpl w:val="6D6C60C6"/>
    <w:lvl w:ilvl="0" w:tplc="222C7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60701BE"/>
    <w:multiLevelType w:val="hybridMultilevel"/>
    <w:tmpl w:val="920A0086"/>
    <w:lvl w:ilvl="0" w:tplc="90405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9513069"/>
    <w:multiLevelType w:val="hybridMultilevel"/>
    <w:tmpl w:val="5C70AA92"/>
    <w:lvl w:ilvl="0" w:tplc="6AA00886">
      <w:start w:val="1"/>
      <w:numFmt w:val="decimal"/>
      <w:lvlText w:val="%1)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821365"/>
    <w:multiLevelType w:val="hybridMultilevel"/>
    <w:tmpl w:val="1916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A778E"/>
    <w:multiLevelType w:val="hybridMultilevel"/>
    <w:tmpl w:val="AEEE6F06"/>
    <w:lvl w:ilvl="0" w:tplc="021AE88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FA87232"/>
    <w:multiLevelType w:val="hybridMultilevel"/>
    <w:tmpl w:val="FE4E833A"/>
    <w:lvl w:ilvl="0" w:tplc="66E0F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FEE6FBD"/>
    <w:multiLevelType w:val="hybridMultilevel"/>
    <w:tmpl w:val="2848C142"/>
    <w:lvl w:ilvl="0" w:tplc="D702085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385025E7"/>
    <w:multiLevelType w:val="hybridMultilevel"/>
    <w:tmpl w:val="7E5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D571B"/>
    <w:multiLevelType w:val="hybridMultilevel"/>
    <w:tmpl w:val="F8301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CEC76A8"/>
    <w:multiLevelType w:val="hybridMultilevel"/>
    <w:tmpl w:val="A44EEFF8"/>
    <w:lvl w:ilvl="0" w:tplc="C8749AF8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E0C0325"/>
    <w:multiLevelType w:val="hybridMultilevel"/>
    <w:tmpl w:val="249CD176"/>
    <w:lvl w:ilvl="0" w:tplc="38126BC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E3B1BB3"/>
    <w:multiLevelType w:val="hybridMultilevel"/>
    <w:tmpl w:val="2C566E84"/>
    <w:lvl w:ilvl="0" w:tplc="50E4A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F96343"/>
    <w:multiLevelType w:val="hybridMultilevel"/>
    <w:tmpl w:val="1D247580"/>
    <w:lvl w:ilvl="0" w:tplc="3F5881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5800DFF"/>
    <w:multiLevelType w:val="hybridMultilevel"/>
    <w:tmpl w:val="1408C39C"/>
    <w:lvl w:ilvl="0" w:tplc="BCE653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83C6838"/>
    <w:multiLevelType w:val="hybridMultilevel"/>
    <w:tmpl w:val="AFEEDE4A"/>
    <w:lvl w:ilvl="0" w:tplc="8CCA8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91C6E00"/>
    <w:multiLevelType w:val="hybridMultilevel"/>
    <w:tmpl w:val="35D80114"/>
    <w:lvl w:ilvl="0" w:tplc="FB80E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E5C6000"/>
    <w:multiLevelType w:val="hybridMultilevel"/>
    <w:tmpl w:val="D56C2910"/>
    <w:lvl w:ilvl="0" w:tplc="69C06DD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5373D7"/>
    <w:multiLevelType w:val="hybridMultilevel"/>
    <w:tmpl w:val="D0F832D0"/>
    <w:lvl w:ilvl="0" w:tplc="BFBC3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EC59EE"/>
    <w:multiLevelType w:val="hybridMultilevel"/>
    <w:tmpl w:val="6D5AB8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824B7B"/>
    <w:multiLevelType w:val="hybridMultilevel"/>
    <w:tmpl w:val="8A74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82351"/>
    <w:multiLevelType w:val="hybridMultilevel"/>
    <w:tmpl w:val="4CFCE07A"/>
    <w:lvl w:ilvl="0" w:tplc="6A1C30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1E4C86"/>
    <w:multiLevelType w:val="hybridMultilevel"/>
    <w:tmpl w:val="9F1A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522B9"/>
    <w:multiLevelType w:val="hybridMultilevel"/>
    <w:tmpl w:val="E9A0655E"/>
    <w:lvl w:ilvl="0" w:tplc="470CE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2077D"/>
    <w:multiLevelType w:val="hybridMultilevel"/>
    <w:tmpl w:val="1388B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9E4972"/>
    <w:multiLevelType w:val="hybridMultilevel"/>
    <w:tmpl w:val="74AAFEE2"/>
    <w:lvl w:ilvl="0" w:tplc="C040EE1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C900DC"/>
    <w:multiLevelType w:val="hybridMultilevel"/>
    <w:tmpl w:val="5DAC0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14088"/>
    <w:multiLevelType w:val="hybridMultilevel"/>
    <w:tmpl w:val="6A4E9E70"/>
    <w:lvl w:ilvl="0" w:tplc="7A28DB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6C6FD7"/>
    <w:multiLevelType w:val="hybridMultilevel"/>
    <w:tmpl w:val="0C7E8392"/>
    <w:lvl w:ilvl="0" w:tplc="7EC6D9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0F0174"/>
    <w:multiLevelType w:val="hybridMultilevel"/>
    <w:tmpl w:val="77465A46"/>
    <w:lvl w:ilvl="0" w:tplc="B6E88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A26C75"/>
    <w:multiLevelType w:val="hybridMultilevel"/>
    <w:tmpl w:val="F2C88D58"/>
    <w:lvl w:ilvl="0" w:tplc="C5B40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9F6333E"/>
    <w:multiLevelType w:val="hybridMultilevel"/>
    <w:tmpl w:val="EB32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27C1D"/>
    <w:multiLevelType w:val="hybridMultilevel"/>
    <w:tmpl w:val="4E28E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D5489"/>
    <w:multiLevelType w:val="hybridMultilevel"/>
    <w:tmpl w:val="6B88A946"/>
    <w:lvl w:ilvl="0" w:tplc="1A86D7DA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4"/>
  </w:num>
  <w:num w:numId="3">
    <w:abstractNumId w:val="11"/>
  </w:num>
  <w:num w:numId="4">
    <w:abstractNumId w:val="41"/>
  </w:num>
  <w:num w:numId="5">
    <w:abstractNumId w:val="47"/>
  </w:num>
  <w:num w:numId="6">
    <w:abstractNumId w:val="34"/>
  </w:num>
  <w:num w:numId="7">
    <w:abstractNumId w:val="6"/>
  </w:num>
  <w:num w:numId="8">
    <w:abstractNumId w:val="13"/>
  </w:num>
  <w:num w:numId="9">
    <w:abstractNumId w:val="35"/>
  </w:num>
  <w:num w:numId="10">
    <w:abstractNumId w:val="18"/>
  </w:num>
  <w:num w:numId="11">
    <w:abstractNumId w:val="15"/>
  </w:num>
  <w:num w:numId="12">
    <w:abstractNumId w:val="37"/>
  </w:num>
  <w:num w:numId="13">
    <w:abstractNumId w:val="43"/>
  </w:num>
  <w:num w:numId="14">
    <w:abstractNumId w:val="5"/>
  </w:num>
  <w:num w:numId="15">
    <w:abstractNumId w:val="31"/>
  </w:num>
  <w:num w:numId="16">
    <w:abstractNumId w:val="28"/>
  </w:num>
  <w:num w:numId="17">
    <w:abstractNumId w:val="30"/>
  </w:num>
  <w:num w:numId="18">
    <w:abstractNumId w:val="8"/>
  </w:num>
  <w:num w:numId="19">
    <w:abstractNumId w:val="32"/>
  </w:num>
  <w:num w:numId="20">
    <w:abstractNumId w:val="4"/>
  </w:num>
  <w:num w:numId="21">
    <w:abstractNumId w:val="10"/>
  </w:num>
  <w:num w:numId="22">
    <w:abstractNumId w:val="44"/>
  </w:num>
  <w:num w:numId="23">
    <w:abstractNumId w:val="3"/>
  </w:num>
  <w:num w:numId="24">
    <w:abstractNumId w:val="2"/>
  </w:num>
  <w:num w:numId="25">
    <w:abstractNumId w:val="1"/>
  </w:num>
  <w:num w:numId="26">
    <w:abstractNumId w:val="19"/>
  </w:num>
  <w:num w:numId="27">
    <w:abstractNumId w:val="17"/>
  </w:num>
  <w:num w:numId="28">
    <w:abstractNumId w:val="7"/>
  </w:num>
  <w:num w:numId="29">
    <w:abstractNumId w:val="40"/>
  </w:num>
  <w:num w:numId="30">
    <w:abstractNumId w:val="42"/>
  </w:num>
  <w:num w:numId="31">
    <w:abstractNumId w:val="36"/>
  </w:num>
  <w:num w:numId="32">
    <w:abstractNumId w:val="25"/>
  </w:num>
  <w:num w:numId="33">
    <w:abstractNumId w:val="9"/>
  </w:num>
  <w:num w:numId="34">
    <w:abstractNumId w:val="12"/>
  </w:num>
  <w:num w:numId="35">
    <w:abstractNumId w:val="48"/>
  </w:num>
  <w:num w:numId="36">
    <w:abstractNumId w:val="20"/>
  </w:num>
  <w:num w:numId="37">
    <w:abstractNumId w:val="22"/>
  </w:num>
  <w:num w:numId="38">
    <w:abstractNumId w:val="33"/>
  </w:num>
  <w:num w:numId="39">
    <w:abstractNumId w:val="46"/>
  </w:num>
  <w:num w:numId="40">
    <w:abstractNumId w:val="45"/>
  </w:num>
  <w:num w:numId="41">
    <w:abstractNumId w:val="0"/>
  </w:num>
  <w:num w:numId="42">
    <w:abstractNumId w:val="26"/>
  </w:num>
  <w:num w:numId="43">
    <w:abstractNumId w:val="14"/>
  </w:num>
  <w:num w:numId="44">
    <w:abstractNumId w:val="16"/>
  </w:num>
  <w:num w:numId="45">
    <w:abstractNumId w:val="21"/>
  </w:num>
  <w:num w:numId="46">
    <w:abstractNumId w:val="29"/>
  </w:num>
  <w:num w:numId="47">
    <w:abstractNumId w:val="38"/>
  </w:num>
  <w:num w:numId="48">
    <w:abstractNumId w:val="2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38"/>
    <w:rsid w:val="00006F8B"/>
    <w:rsid w:val="000471DF"/>
    <w:rsid w:val="00061EA8"/>
    <w:rsid w:val="00091D45"/>
    <w:rsid w:val="000B0217"/>
    <w:rsid w:val="000D1298"/>
    <w:rsid w:val="000D141A"/>
    <w:rsid w:val="001040DA"/>
    <w:rsid w:val="00111840"/>
    <w:rsid w:val="001213FE"/>
    <w:rsid w:val="001545E8"/>
    <w:rsid w:val="00170258"/>
    <w:rsid w:val="00184777"/>
    <w:rsid w:val="00196F08"/>
    <w:rsid w:val="001A320F"/>
    <w:rsid w:val="001A3DD7"/>
    <w:rsid w:val="001A5DB0"/>
    <w:rsid w:val="001C12C0"/>
    <w:rsid w:val="001D280C"/>
    <w:rsid w:val="001D3271"/>
    <w:rsid w:val="00201255"/>
    <w:rsid w:val="002066B8"/>
    <w:rsid w:val="00214C0A"/>
    <w:rsid w:val="00214DA1"/>
    <w:rsid w:val="00231CE0"/>
    <w:rsid w:val="002525F9"/>
    <w:rsid w:val="002D3929"/>
    <w:rsid w:val="002D5715"/>
    <w:rsid w:val="002D7CF8"/>
    <w:rsid w:val="002E1282"/>
    <w:rsid w:val="002E295E"/>
    <w:rsid w:val="002E7C07"/>
    <w:rsid w:val="002F034A"/>
    <w:rsid w:val="002F7359"/>
    <w:rsid w:val="00310B45"/>
    <w:rsid w:val="00324CCA"/>
    <w:rsid w:val="00331F3B"/>
    <w:rsid w:val="00386455"/>
    <w:rsid w:val="003A1204"/>
    <w:rsid w:val="003B121F"/>
    <w:rsid w:val="003E4C00"/>
    <w:rsid w:val="00417842"/>
    <w:rsid w:val="00421C91"/>
    <w:rsid w:val="004241E1"/>
    <w:rsid w:val="00426116"/>
    <w:rsid w:val="00446962"/>
    <w:rsid w:val="00451C71"/>
    <w:rsid w:val="00455128"/>
    <w:rsid w:val="0048302F"/>
    <w:rsid w:val="004C088C"/>
    <w:rsid w:val="004C3A41"/>
    <w:rsid w:val="004E2B59"/>
    <w:rsid w:val="004F0C31"/>
    <w:rsid w:val="005347FF"/>
    <w:rsid w:val="00596F9F"/>
    <w:rsid w:val="005B000E"/>
    <w:rsid w:val="005F36D8"/>
    <w:rsid w:val="006051DA"/>
    <w:rsid w:val="00615A05"/>
    <w:rsid w:val="00616967"/>
    <w:rsid w:val="006605EB"/>
    <w:rsid w:val="00664964"/>
    <w:rsid w:val="006E3828"/>
    <w:rsid w:val="00711B46"/>
    <w:rsid w:val="00717E10"/>
    <w:rsid w:val="00721C90"/>
    <w:rsid w:val="00730BB1"/>
    <w:rsid w:val="00733881"/>
    <w:rsid w:val="00733963"/>
    <w:rsid w:val="007526FE"/>
    <w:rsid w:val="007669F8"/>
    <w:rsid w:val="007B7599"/>
    <w:rsid w:val="007E1547"/>
    <w:rsid w:val="007E40C5"/>
    <w:rsid w:val="007E7169"/>
    <w:rsid w:val="008170D4"/>
    <w:rsid w:val="008462DA"/>
    <w:rsid w:val="00872414"/>
    <w:rsid w:val="008A2AC5"/>
    <w:rsid w:val="008B671B"/>
    <w:rsid w:val="008E32F7"/>
    <w:rsid w:val="008F1538"/>
    <w:rsid w:val="008F514C"/>
    <w:rsid w:val="00921FE4"/>
    <w:rsid w:val="00922FD6"/>
    <w:rsid w:val="00936994"/>
    <w:rsid w:val="009A0D49"/>
    <w:rsid w:val="009A4B84"/>
    <w:rsid w:val="009E1789"/>
    <w:rsid w:val="009F745E"/>
    <w:rsid w:val="00A23A30"/>
    <w:rsid w:val="00A813BF"/>
    <w:rsid w:val="00A8693B"/>
    <w:rsid w:val="00AD0FA7"/>
    <w:rsid w:val="00B01C7D"/>
    <w:rsid w:val="00B05DCB"/>
    <w:rsid w:val="00B31468"/>
    <w:rsid w:val="00B948C9"/>
    <w:rsid w:val="00BC297D"/>
    <w:rsid w:val="00BC3A66"/>
    <w:rsid w:val="00C13F03"/>
    <w:rsid w:val="00C27F3D"/>
    <w:rsid w:val="00C3620D"/>
    <w:rsid w:val="00C40681"/>
    <w:rsid w:val="00C44572"/>
    <w:rsid w:val="00C64723"/>
    <w:rsid w:val="00C75903"/>
    <w:rsid w:val="00C81B18"/>
    <w:rsid w:val="00CA7733"/>
    <w:rsid w:val="00CB0E0A"/>
    <w:rsid w:val="00CE1AE7"/>
    <w:rsid w:val="00D04236"/>
    <w:rsid w:val="00D24EE3"/>
    <w:rsid w:val="00D30990"/>
    <w:rsid w:val="00D66424"/>
    <w:rsid w:val="00DC5A63"/>
    <w:rsid w:val="00DE315A"/>
    <w:rsid w:val="00E05D40"/>
    <w:rsid w:val="00E13183"/>
    <w:rsid w:val="00E23725"/>
    <w:rsid w:val="00E25BCD"/>
    <w:rsid w:val="00E3192E"/>
    <w:rsid w:val="00E376D3"/>
    <w:rsid w:val="00E60E26"/>
    <w:rsid w:val="00E70B15"/>
    <w:rsid w:val="00EB707B"/>
    <w:rsid w:val="00ED75A0"/>
    <w:rsid w:val="00F0642C"/>
    <w:rsid w:val="00F0665D"/>
    <w:rsid w:val="00F10F11"/>
    <w:rsid w:val="00F2595C"/>
    <w:rsid w:val="00F8479B"/>
    <w:rsid w:val="00F926D2"/>
    <w:rsid w:val="00FB07B5"/>
    <w:rsid w:val="00FE2225"/>
    <w:rsid w:val="00FE7DD3"/>
    <w:rsid w:val="00FF3576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71AD9-E564-4F50-9CA2-B4C5665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8F1538"/>
    <w:pPr>
      <w:spacing w:before="2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F1538"/>
    <w:pPr>
      <w:spacing w:after="60"/>
      <w:ind w:firstLine="567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F1538"/>
  </w:style>
  <w:style w:type="paragraph" w:customStyle="1" w:styleId="tkZagolovok5">
    <w:name w:val="_Заголовок Статья (tkZagolovok5)"/>
    <w:basedOn w:val="a"/>
    <w:rsid w:val="008F1538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1538"/>
    <w:rPr>
      <w:strike w:val="0"/>
      <w:dstrike w:val="0"/>
      <w:color w:val="000000"/>
      <w:u w:val="none"/>
      <w:effect w:val="none"/>
    </w:rPr>
  </w:style>
  <w:style w:type="paragraph" w:styleId="a5">
    <w:name w:val="List Paragraph"/>
    <w:basedOn w:val="a"/>
    <w:uiPriority w:val="34"/>
    <w:qFormat/>
    <w:rsid w:val="008F1538"/>
    <w:pPr>
      <w:ind w:left="720"/>
      <w:contextualSpacing/>
    </w:pPr>
  </w:style>
  <w:style w:type="table" w:styleId="a6">
    <w:name w:val="Table Grid"/>
    <w:basedOn w:val="a1"/>
    <w:uiPriority w:val="39"/>
    <w:rsid w:val="008F153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F1538"/>
    <w:rPr>
      <w:strike w:val="0"/>
      <w:dstrike w:val="0"/>
      <w:color w:val="000000"/>
      <w:u w:val="none"/>
      <w:effect w:val="none"/>
    </w:rPr>
  </w:style>
  <w:style w:type="paragraph" w:styleId="a8">
    <w:name w:val="header"/>
    <w:aliases w:val=" Char6"/>
    <w:basedOn w:val="a"/>
    <w:link w:val="a9"/>
    <w:uiPriority w:val="99"/>
    <w:unhideWhenUsed/>
    <w:rsid w:val="008F15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Char6 Знак"/>
    <w:basedOn w:val="a0"/>
    <w:link w:val="a8"/>
    <w:uiPriority w:val="99"/>
    <w:rsid w:val="008F1538"/>
  </w:style>
  <w:style w:type="paragraph" w:styleId="aa">
    <w:name w:val="footer"/>
    <w:basedOn w:val="a"/>
    <w:link w:val="ab"/>
    <w:uiPriority w:val="99"/>
    <w:unhideWhenUsed/>
    <w:rsid w:val="008F15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538"/>
  </w:style>
  <w:style w:type="paragraph" w:styleId="ac">
    <w:name w:val="Balloon Text"/>
    <w:basedOn w:val="a"/>
    <w:link w:val="ad"/>
    <w:uiPriority w:val="99"/>
    <w:semiHidden/>
    <w:unhideWhenUsed/>
    <w:rsid w:val="008F15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538"/>
    <w:rPr>
      <w:rFonts w:ascii="Tahoma" w:hAnsi="Tahoma" w:cs="Tahoma"/>
      <w:sz w:val="16"/>
      <w:szCs w:val="16"/>
    </w:rPr>
  </w:style>
  <w:style w:type="paragraph" w:customStyle="1" w:styleId="ae">
    <w:name w:val="Текст основной"/>
    <w:basedOn w:val="a"/>
    <w:link w:val="af"/>
    <w:qFormat/>
    <w:rsid w:val="008F1538"/>
    <w:pPr>
      <w:spacing w:before="240" w:after="24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Текст основной Знак"/>
    <w:basedOn w:val="a0"/>
    <w:link w:val="ae"/>
    <w:rsid w:val="008F1538"/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otnote reference"/>
    <w:uiPriority w:val="99"/>
    <w:semiHidden/>
    <w:unhideWhenUsed/>
    <w:rsid w:val="008F1538"/>
    <w:rPr>
      <w:vertAlign w:val="superscript"/>
    </w:rPr>
  </w:style>
  <w:style w:type="paragraph" w:customStyle="1" w:styleId="af1">
    <w:name w:val="Сноска"/>
    <w:basedOn w:val="af2"/>
    <w:link w:val="af3"/>
    <w:autoRedefine/>
    <w:qFormat/>
    <w:rsid w:val="008F1538"/>
    <w:rPr>
      <w:rFonts w:ascii="Times New Roman" w:eastAsia="Calibri" w:hAnsi="Times New Roman" w:cs="Times New Roman"/>
    </w:rPr>
  </w:style>
  <w:style w:type="character" w:customStyle="1" w:styleId="af3">
    <w:name w:val="Сноска Знак"/>
    <w:link w:val="af1"/>
    <w:rsid w:val="008F1538"/>
    <w:rPr>
      <w:rFonts w:ascii="Times New Roman" w:eastAsia="Calibri" w:hAnsi="Times New Roman" w:cs="Times New Roman"/>
      <w:sz w:val="20"/>
      <w:szCs w:val="20"/>
    </w:rPr>
  </w:style>
  <w:style w:type="paragraph" w:styleId="af2">
    <w:name w:val="footnote text"/>
    <w:basedOn w:val="a"/>
    <w:link w:val="af4"/>
    <w:uiPriority w:val="99"/>
    <w:semiHidden/>
    <w:unhideWhenUsed/>
    <w:rsid w:val="008F1538"/>
    <w:rPr>
      <w:sz w:val="20"/>
      <w:szCs w:val="20"/>
    </w:rPr>
  </w:style>
  <w:style w:type="character" w:customStyle="1" w:styleId="af4">
    <w:name w:val="Текст сноски Знак"/>
    <w:basedOn w:val="a0"/>
    <w:link w:val="af2"/>
    <w:uiPriority w:val="99"/>
    <w:semiHidden/>
    <w:rsid w:val="008F1538"/>
    <w:rPr>
      <w:sz w:val="20"/>
      <w:szCs w:val="20"/>
    </w:rPr>
  </w:style>
  <w:style w:type="paragraph" w:styleId="af5">
    <w:name w:val="Revision"/>
    <w:hidden/>
    <w:uiPriority w:val="99"/>
    <w:semiHidden/>
    <w:rsid w:val="008F1538"/>
  </w:style>
  <w:style w:type="paragraph" w:styleId="af6">
    <w:name w:val="caption"/>
    <w:basedOn w:val="a"/>
    <w:next w:val="a"/>
    <w:uiPriority w:val="35"/>
    <w:semiHidden/>
    <w:unhideWhenUsed/>
    <w:qFormat/>
    <w:rsid w:val="008F1538"/>
    <w:rPr>
      <w:b/>
      <w:bCs/>
      <w:color w:val="4F81BD" w:themeColor="accent1"/>
      <w:sz w:val="18"/>
      <w:szCs w:val="18"/>
    </w:rPr>
  </w:style>
  <w:style w:type="paragraph" w:customStyle="1" w:styleId="tkTablica">
    <w:name w:val="_Текст таблицы (tkTablica)"/>
    <w:basedOn w:val="a"/>
    <w:rsid w:val="008F1538"/>
    <w:pPr>
      <w:spacing w:after="6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8F1538"/>
    <w:rPr>
      <w:i/>
      <w:iCs/>
    </w:rPr>
  </w:style>
  <w:style w:type="table" w:customStyle="1" w:styleId="-11">
    <w:name w:val="Таблица-сетка 1 светлая1"/>
    <w:basedOn w:val="a1"/>
    <w:uiPriority w:val="46"/>
    <w:rsid w:val="008F15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kZagolovok1">
    <w:name w:val="_Заголовок Часть (tkZagolovok1)"/>
    <w:basedOn w:val="a"/>
    <w:rsid w:val="008F1538"/>
    <w:pPr>
      <w:spacing w:before="2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F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12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oktom://db/37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9780</Words>
  <Characters>55750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Кыдыралиев Марат</cp:lastModifiedBy>
  <cp:revision>3</cp:revision>
  <cp:lastPrinted>2023-02-16T10:49:00Z</cp:lastPrinted>
  <dcterms:created xsi:type="dcterms:W3CDTF">2023-02-24T11:29:00Z</dcterms:created>
  <dcterms:modified xsi:type="dcterms:W3CDTF">2023-02-24T11:29:00Z</dcterms:modified>
</cp:coreProperties>
</file>