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6CF9" w:rsidRPr="00406CF9" w:rsidRDefault="00406CF9" w:rsidP="002D42E2">
      <w:pPr>
        <w:spacing w:after="0" w:line="240" w:lineRule="auto"/>
        <w:ind w:left="4248" w:firstLine="708"/>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Кыргыз Республикасынын</w:t>
      </w:r>
    </w:p>
    <w:p w:rsidR="00406CF9" w:rsidRPr="00406CF9" w:rsidRDefault="00406CF9" w:rsidP="002D42E2">
      <w:pPr>
        <w:spacing w:after="0" w:line="240" w:lineRule="auto"/>
        <w:ind w:left="4956"/>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Министрлер Кабинетинин</w:t>
      </w:r>
    </w:p>
    <w:p w:rsidR="00406CF9" w:rsidRPr="00406CF9" w:rsidRDefault="00406CF9" w:rsidP="002D42E2">
      <w:pPr>
        <w:spacing w:after="0" w:line="240" w:lineRule="auto"/>
        <w:ind w:left="4248" w:firstLine="708"/>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токтом долбооруна</w:t>
      </w:r>
    </w:p>
    <w:p w:rsidR="00406CF9" w:rsidRPr="00406CF9" w:rsidRDefault="00406CF9" w:rsidP="002D42E2">
      <w:pPr>
        <w:spacing w:after="0" w:line="240" w:lineRule="auto"/>
        <w:ind w:left="4248" w:firstLine="708"/>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тиркеме</w:t>
      </w:r>
    </w:p>
    <w:p w:rsidR="00406CF9" w:rsidRPr="00406CF9" w:rsidRDefault="00406CF9" w:rsidP="00406CF9">
      <w:pPr>
        <w:spacing w:after="0" w:line="240" w:lineRule="auto"/>
        <w:jc w:val="right"/>
        <w:rPr>
          <w:rFonts w:ascii="Times New Roman" w:eastAsia="Calibri" w:hAnsi="Times New Roman" w:cs="Times New Roman"/>
          <w:sz w:val="28"/>
          <w:szCs w:val="28"/>
          <w:lang w:val="ky-KG"/>
        </w:rPr>
      </w:pPr>
    </w:p>
    <w:p w:rsidR="00406CF9" w:rsidRPr="00406CF9" w:rsidRDefault="00406CF9" w:rsidP="00406CF9">
      <w:pPr>
        <w:spacing w:after="0" w:line="240" w:lineRule="auto"/>
        <w:jc w:val="center"/>
        <w:rPr>
          <w:rFonts w:ascii="Times New Roman" w:eastAsia="Calibri" w:hAnsi="Times New Roman" w:cs="Times New Roman"/>
          <w:b/>
          <w:sz w:val="28"/>
          <w:szCs w:val="28"/>
          <w:lang w:val="ky-KG"/>
        </w:rPr>
      </w:pPr>
      <w:r w:rsidRPr="00406CF9">
        <w:rPr>
          <w:rFonts w:ascii="Times New Roman" w:eastAsia="Calibri" w:hAnsi="Times New Roman" w:cs="Times New Roman"/>
          <w:b/>
          <w:sz w:val="28"/>
          <w:szCs w:val="28"/>
          <w:lang w:val="ky-KG"/>
        </w:rPr>
        <w:t>Көп батирлүү турак үйлөрдү үлүштүк куруу жөнүндө</w:t>
      </w:r>
    </w:p>
    <w:p w:rsidR="00406CF9" w:rsidRPr="00406CF9" w:rsidRDefault="00406CF9" w:rsidP="00406CF9">
      <w:pPr>
        <w:spacing w:after="0" w:line="240" w:lineRule="auto"/>
        <w:jc w:val="center"/>
        <w:rPr>
          <w:rFonts w:ascii="Times New Roman" w:eastAsia="Calibri" w:hAnsi="Times New Roman" w:cs="Times New Roman"/>
          <w:b/>
          <w:sz w:val="28"/>
          <w:szCs w:val="28"/>
          <w:lang w:val="ky-KG"/>
        </w:rPr>
      </w:pPr>
      <w:r w:rsidRPr="00406CF9">
        <w:rPr>
          <w:rFonts w:ascii="Times New Roman" w:eastAsia="Calibri" w:hAnsi="Times New Roman" w:cs="Times New Roman"/>
          <w:b/>
          <w:sz w:val="28"/>
          <w:szCs w:val="28"/>
          <w:lang w:val="ky-KG"/>
        </w:rPr>
        <w:t>ЖОБО</w:t>
      </w:r>
    </w:p>
    <w:p w:rsidR="00406CF9" w:rsidRPr="00406CF9" w:rsidRDefault="00406CF9" w:rsidP="00406CF9">
      <w:pPr>
        <w:spacing w:after="0" w:line="240" w:lineRule="auto"/>
        <w:jc w:val="center"/>
        <w:rPr>
          <w:rFonts w:ascii="Times New Roman" w:eastAsia="Calibri" w:hAnsi="Times New Roman" w:cs="Times New Roman"/>
          <w:sz w:val="28"/>
          <w:szCs w:val="28"/>
          <w:lang w:val="ky-KG"/>
        </w:rPr>
      </w:pPr>
    </w:p>
    <w:p w:rsidR="00406CF9" w:rsidRPr="00406CF9" w:rsidRDefault="00406CF9" w:rsidP="00406CF9">
      <w:pPr>
        <w:spacing w:after="200" w:line="240" w:lineRule="auto"/>
        <w:ind w:firstLine="708"/>
        <w:jc w:val="center"/>
        <w:rPr>
          <w:rFonts w:ascii="Times New Roman" w:eastAsia="Calibri" w:hAnsi="Times New Roman" w:cs="Times New Roman"/>
          <w:b/>
          <w:sz w:val="28"/>
          <w:szCs w:val="28"/>
          <w:lang w:val="ky-KG"/>
        </w:rPr>
      </w:pPr>
      <w:r w:rsidRPr="00406CF9">
        <w:rPr>
          <w:rFonts w:ascii="Times New Roman" w:eastAsia="Calibri" w:hAnsi="Times New Roman" w:cs="Times New Roman"/>
          <w:b/>
          <w:sz w:val="28"/>
          <w:szCs w:val="28"/>
          <w:lang w:val="ky-KG"/>
        </w:rPr>
        <w:t>1-бөлүм. Жалпы жоболор</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1.Ушул жобо көп батирлүү турак үйлөрдү үлүштүк куруу жана бул максаттар үчүн топтолуучу жеке жана юридикалык жактардын каражаттарын пайдалануу тартибин белгилейт.</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2. Ушул жобонун максаттары үчүн төмөнкү негизги түшүнүктөр колдонулат:</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ыйгарым укуктуу мамлекеттик орган – Кыргыз Республикасынын Министрлер Кабинетине караштуу Архитектура, курулуш жана турак жай – коммуналдык чарба мамлекеттик агенттиги жана анын аймактык бөлүнүштөрү;</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үлүш ээси – курулуш объектинде үлүштүк курулуштун бир же бир нече объекттерине менчик укугун алуу максатында үлүштүк курулушта катышууга  келишим түзгөн жеке же юридикалык жак;</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үлүштүк курулуш – куруучулар жана үлүш ээлеринин каражаттарын пайдалануу менен көп батирлүү турак үйлөрдү куруу, кайра конструкциялоо жана багытын өзгөртүү;</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үлүштүк курулушка катышууга болгон келишим (мындан ары – келишим) – ушул жобонун талаптарына ылайык эсепке коюлган жана үлүштүк курулуш боюнча курууучу жана үлүш ээси аралык мамилелерди жөнгө салуучу жазуу жүзүндө түзүлгөн бүтүм;</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үлүштүк курулуштун катышуучулары – куруучу, үлүш ээси жана коммерциялык банк;</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электрондук реестр – үлүштүк курулуш жөнүндө маалыматтарды ыйгарым укуктуу мамлекеттик орган менен жүргүзүү үчүн заманбап маалыматтык-коммуникациялык технологияларды колдонуу менен түзүлүүчү электрондук маалыматтар базасы;</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куруучу (девелопер) – көп батирлүү турак үйлөрдү курууга бөлүнгөн жер участогу жана курулуш иштерин жүргүзүүгө алгачкы уруксат берүүчү документтери бар үлүштүк курулушка каражат тартуучу курулушчулардын электрондук реестрине (мындан ары - электрондук реестр) киргизилген юридикалык жак;</w:t>
      </w:r>
    </w:p>
    <w:p w:rsidR="00406CF9" w:rsidRPr="00406CF9" w:rsidRDefault="00406CF9" w:rsidP="00406CF9">
      <w:pPr>
        <w:spacing w:after="200" w:line="240" w:lineRule="auto"/>
        <w:ind w:firstLine="708"/>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lastRenderedPageBreak/>
        <w:t>курулуш комплекси - бир долбоордун алкагында курулуш үчүн бөлүнгөн жер участогунда бир дарек боюнча курулуп жаткан бир же бир нече курулуш объекттеринин жыйындысы;</w:t>
      </w:r>
    </w:p>
    <w:p w:rsidR="00406CF9" w:rsidRPr="00406CF9" w:rsidRDefault="00406CF9" w:rsidP="00406CF9">
      <w:pPr>
        <w:spacing w:after="200" w:line="240" w:lineRule="auto"/>
        <w:ind w:firstLine="708"/>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курулуш комплексинин наркы - куруучунун курулуш алдындагы чыгымдарынын жыйындысы, анын ичинде көп батирлүү үйлөрдү куруу үчүн жер участогун сатып алууга жана уруксат берүүчү документтерди тариздөөгө кеткен чыгымдар, ошондой эле курулуш куруу үчүн долбоордук-сметалык документтерде каралган чыгымдар;</w:t>
      </w:r>
    </w:p>
    <w:p w:rsidR="00406CF9" w:rsidRPr="00406CF9" w:rsidRDefault="00406CF9" w:rsidP="00406CF9">
      <w:pPr>
        <w:spacing w:after="200" w:line="240" w:lineRule="auto"/>
        <w:ind w:firstLine="708"/>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курулуш объектиси - келишимге ылайык үлүшчүгө берилүүчү батир, жеңил автотранспорт каражаттарын токтотуучу жай жана курулуш комплексиндеги башка объекттер;</w:t>
      </w:r>
    </w:p>
    <w:p w:rsidR="00406CF9" w:rsidRPr="00406CF9" w:rsidRDefault="00406CF9" w:rsidP="00406CF9">
      <w:pPr>
        <w:spacing w:after="200" w:line="240" w:lineRule="auto"/>
        <w:ind w:firstLine="708"/>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курулуш объектисинин наркы - келишимде көрсөтүлгөн курулуш объектисинин наркы;</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3. Куруучу курулуш объектисин куруу үчүн үлүшчүлөрдүн каражаттарын электрондук реестрге киргизгенден жана үлүшчүлөр менен түзүлгөн келишимдерди эсепке алгандан кийин ушул Жобонун талаптарына ылайык тартууга укуктуу.</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4. Электрондук реестрди жүргүзүү, аны менен катар куруучуну электрондук реестрге кошуу электрондук платформа аркылуу ыйгарым укуктуу мамлекеттик орган менен ишке ашырылат.</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5. Куруучу менен жеке жана юридикалык жактарды курулуш объекти, келишимдин шарттары, үлүштү киргизүү тартиби жана башка маалыматтар менен тааныштыруу үчүн сатуу кеңсеси уюштурулат.</w:t>
      </w:r>
    </w:p>
    <w:p w:rsidR="00406CF9" w:rsidRPr="00406CF9" w:rsidRDefault="00406CF9" w:rsidP="00406CF9">
      <w:pPr>
        <w:spacing w:after="200" w:line="240" w:lineRule="auto"/>
        <w:ind w:firstLine="708"/>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Сатуу кеңсесинде курулуш комплексинин эскиздик чиймелери жана кичирейтилген макети, келишимге ылайык сунуш кылынган курулуш объектилеринин чиймелери, ошондой эле белгиленген техникалык жабдуулар жана сырткы аймактын абалы менен таанышуу үчүн шарттар түзүлөт.</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6.  Куруучунун жана үлүшчүнүн өз ара макулдашуусу боюнча куруучунун келишимдик милдеттенмелерди аткарбагандыгы үчүн жоопкерчилиги Кыргыз Республикасынын мыйзамдарына ылайык камсыздандырылышы мүмкүн.</w:t>
      </w:r>
    </w:p>
    <w:p w:rsidR="00406CF9" w:rsidRPr="00406CF9" w:rsidRDefault="00406CF9" w:rsidP="00406CF9">
      <w:pPr>
        <w:spacing w:after="200" w:line="240" w:lineRule="auto"/>
        <w:ind w:firstLine="708"/>
        <w:jc w:val="center"/>
        <w:rPr>
          <w:rFonts w:ascii="Times New Roman" w:eastAsia="Calibri" w:hAnsi="Times New Roman" w:cs="Times New Roman"/>
          <w:b/>
          <w:sz w:val="28"/>
          <w:szCs w:val="28"/>
          <w:lang w:val="ky-KG"/>
        </w:rPr>
      </w:pPr>
      <w:r w:rsidRPr="00406CF9">
        <w:rPr>
          <w:rFonts w:ascii="Times New Roman" w:eastAsia="Calibri" w:hAnsi="Times New Roman" w:cs="Times New Roman"/>
          <w:b/>
          <w:sz w:val="28"/>
          <w:szCs w:val="28"/>
          <w:lang w:val="ky-KG"/>
        </w:rPr>
        <w:t>2-бөлүм. Куруучуларды Электрондук реестрге кошуу тартиби</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7. Куруучу ар бир курулуш объекти боюнча электрондук реестрге кошулууга тийиш.</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lastRenderedPageBreak/>
        <w:tab/>
        <w:t>8. Куруучу электрондук платформа аркылуу электрондук реестрге кошулуу үчүн ыйгарым укуктуу мамлекеттик органга электрондук түрдө төмөнкү документтерди сунуштайт:</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куруучу жана курулуштук-подряддык уюм (башкы подрядчик) (башкы подрядчыны тарткан учурда)  менен түзүлгөн башкы подряддык келишиминин көчүрмөсүн;</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жер участогуна болгон укук белгилөөчү документтердин жана курулуш иштерин аткарууга карата алгачкы уруксат берилген документтердин көчүрмөлөрү (инженердик-техникалык камсыз кылуу тармактарына кошулуунун техникалык шарттары менен шаар куруу жана архитектура боюнча аймактык органдын архитектуралык-шаар куруу корутундусу);</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долбоордук документтеринин экспертизасынын оң корутундусунун көчүрмөсү;</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объектин курулушуна техникалык жана автордук көзөмөлдөөнү жүргүзүүгө карата келишимдердин көчүрмөлөрү;</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куруучуда салыктар жана башка милдеттүү төлөмдөр боюнча мөөнөтү өткөн бересенин жоктугу тууралуу маалымкат;</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курулуш объектинин наркынан 15 пайыздан кем эмес өлчөмдө куруучуда менчик финансылык ресурстардын бардыгын тастыктоочу документ же бул суммага же анын жетишсиз бөлүгүнө карата насыя бөлүштүрүү жөнүндө банк тарабынан кепилдик кат. Ушуну менен объектти долбоорлоо жана куруу менен байланышкан келтирилген чыгымдардын суммасы эске алынат;</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Ошол эле учурда электрондук аянтча башка мамлекеттик маалыматтык системалар менен интеграциялангандан кийин куруучулар ушул пунктта көрсөтүлгөн документтерди берүүнүн зарылдыгы жок.</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9. Ыйгарым укуктуу мамлекеттик орган ведомство аралык маалыматтык өз ара аракеттенүү тартибинде куруучу менен берилген маалыматтардын жана документтердин ишенимдүүлүгүн текшерүүсүн карайт.</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10. Ыйгарым укуктуу мамлекеттик орган үч жумуш күнүнүн аралыгында куруучу менен берилген документтерди карап чыгып жана аны электрондук реестрге кошот.</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11. Ушул жобонун 8 пунктунда белгиленгендей  маалымат жана документтер толук берилбеген учурда, же алар чындыкка туура келбегенде ыйгарым укуктуу мамлекеттик орган куруучуну электрондук реестрге кошуудан баш тартат.</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lastRenderedPageBreak/>
        <w:tab/>
        <w:t>Куруучуну электрондук реестрге кошуудан баш тартылган учурда, ага эки жумуш күнүнүн аралыгында баш тартуунун себептерин көрсөтүү менен билдирүү жиберилет. Электрондук реестрге кошуудан баш тартылган себептер четтетилгенден кийин куруучу кайрадан кайрылат.</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12. Электрондук реестр электрондук платформада жүргүзүлөт.</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Электрондук реестрде аталышы, дареги, ИИН жана куруучунун уюмдаштыруучулары, ошондой эле башка маалыматтар жөнүндө жалпыга жеткиликтүү маалымат чагылдырылат.</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13. Электрондук реестрге кирбеген куруучулар үлүштүк курулуш үчүн үлүштүк ээлеринин каражаттарын тартууга тыюу салынат.</w:t>
      </w:r>
    </w:p>
    <w:p w:rsidR="00406CF9" w:rsidRPr="00406CF9" w:rsidRDefault="00406CF9" w:rsidP="00406CF9">
      <w:pPr>
        <w:spacing w:after="200" w:line="240" w:lineRule="auto"/>
        <w:ind w:firstLine="708"/>
        <w:jc w:val="center"/>
        <w:rPr>
          <w:rFonts w:ascii="Times New Roman" w:eastAsia="Calibri" w:hAnsi="Times New Roman" w:cs="Times New Roman"/>
          <w:sz w:val="28"/>
          <w:szCs w:val="28"/>
          <w:lang w:val="ky-KG"/>
        </w:rPr>
      </w:pPr>
      <w:r w:rsidRPr="00406CF9">
        <w:rPr>
          <w:rFonts w:ascii="Times New Roman" w:eastAsia="Calibri" w:hAnsi="Times New Roman" w:cs="Times New Roman"/>
          <w:b/>
          <w:sz w:val="28"/>
          <w:szCs w:val="28"/>
          <w:lang w:val="ky-KG"/>
        </w:rPr>
        <w:t>3-бөлүм. Келишимдерди эсепке коюу, аларга өзгөртүү жана толуктоолорду киргизүү, ошондой эле келишимдерди бузуу тартиби</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 xml:space="preserve">14. Куруучу үлүш ээлерин электрондук реестрге кошкондон кийин гана келишим түзөт. </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15. Келишимде төмөнкүлөр белгиленет:</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Курулуш объекти жана үлүштүк курулуш объекти жөнүндө маалымат (дареги, жайгашкан жери, батирдин номери жана башка);</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үлүштүк курулуш объекттин аянты жана баасы;</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үлүштүк курулуш объекттин үлүш ээсине тапшыруу датасы жана жагдайы;</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үлүш ээси менен киргизилүүчү сумманын өлчөмү;</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өз ара эсеп-кысап тартиби;</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курулуш-монтаждоо иштеринин графиги;</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тараптардын укуктары, милдеттери жана жоопкерчиликтери;</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келишим боюнча талаптардын укуктарын өткөрүп берүү тартиби;</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курулуш объектисин пайдалануунун  кепилдик мөөнөтү (эки жылдан кем эмес);</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Кыргыз Республикасынын Граждандык кодексине ылайык ылайык тараптар менен макулдашылган талаштарды жана башка шарттарды чечүү тартиби;</w:t>
      </w:r>
    </w:p>
    <w:p w:rsidR="00406CF9" w:rsidRPr="00406CF9" w:rsidRDefault="00406CF9" w:rsidP="00406CF9">
      <w:pPr>
        <w:spacing w:after="200" w:line="240" w:lineRule="auto"/>
        <w:ind w:firstLine="708"/>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lastRenderedPageBreak/>
        <w:t>форс-мажордук жагдайларды Кыргыз Республикасынын Граждандык кодексине ылайык.</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16. Келишимди эсепке коюу үчүн куруучу мамлекеттик коммерциялык банкка төмөнкү документтерди сунуштайт:</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 келишимдин көчүрмөсү;</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 үлүш ээсинин паспортунун көчүрмөсү, эгерде үлүш ээси юридикалык жак болуп эсептелинсе – мамлекеттик каттоо жүргүзүлгөндүгү жөнүндө күбөлүктүн көчүрмөсү.</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17. Келишимди эсепке коюу үчүн электрондук платформа аркылуу коммерциялык банкка документтер сунушталат.</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18.  Тейлөөчү коммерциялык банк үч иш күндүн ичинде келишимди карап чыгып, эсепке алат.</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 xml:space="preserve">Келишимди эсепке алуу жөнүндө кабарлоо куруучунун жана үлүшчүнүн ыйгарым укуктуу кызматкеринин телефон номерине (СМС, </w:t>
      </w:r>
      <w:r w:rsidRPr="00406CF9">
        <w:rPr>
          <w:rFonts w:ascii="Times New Roman" w:eastAsia="Times New Roman" w:hAnsi="Times New Roman" w:cs="Times New Roman"/>
          <w:sz w:val="28"/>
          <w:szCs w:val="28"/>
          <w:lang w:val="ky-KG" w:eastAsia="ru-RU"/>
        </w:rPr>
        <w:t>WhatsApp</w:t>
      </w:r>
      <w:r w:rsidRPr="00406CF9">
        <w:rPr>
          <w:rFonts w:ascii="Times New Roman" w:eastAsia="Calibri" w:hAnsi="Times New Roman" w:cs="Times New Roman"/>
          <w:sz w:val="28"/>
          <w:szCs w:val="28"/>
          <w:lang w:val="ky-KG"/>
        </w:rPr>
        <w:t xml:space="preserve"> ж.б.) билдирүү жолу менен жөнөтүлөт. Келишимдин ар бир бетине жеке катар номери жана </w:t>
      </w:r>
      <w:r w:rsidRPr="00406CF9">
        <w:rPr>
          <w:rFonts w:ascii="Times New Roman" w:eastAsia="Times New Roman" w:hAnsi="Times New Roman" w:cs="Times New Roman"/>
          <w:sz w:val="28"/>
          <w:szCs w:val="28"/>
          <w:lang w:val="ky-KG" w:eastAsia="ru-RU"/>
        </w:rPr>
        <w:t>QR</w:t>
      </w:r>
      <w:r w:rsidRPr="00406CF9">
        <w:rPr>
          <w:rFonts w:ascii="Times New Roman" w:eastAsia="Calibri" w:hAnsi="Times New Roman" w:cs="Times New Roman"/>
          <w:sz w:val="28"/>
          <w:szCs w:val="28"/>
          <w:lang w:val="ky-KG"/>
        </w:rPr>
        <w:t>-коду ыйгарылат, келишим иштеп чыгуучуга жана үлүшчүгө берилет.</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19. Сунушталган келишим ушул жобонун 15-пунктунда белгиленген талаптарга ылайык келбесе жана (же) ушул жобонун 16-пунктунда белгиленгендей документтер тиркелбесе коммерциялык банк келишимди эсепке коюудан баш тартат. Келишимди эсепке коюудан баш тартылган себептер четтетилгенден кийин курулушчу кайрадан кайрыла алат.</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20.  Келишимге киргизилген өзгөртүүлөр жана толуктоолор белгиленген тартипте эсепке алынууга тийиш.</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21. Келишим бузулган учурда куруучу бул тууралуу электрондук платформа аркылуу тейлөөчү коммерциялык банкка үч жумушчу күндүн ичинде билдирүүгө милдеттүү.</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22. Курулуш комплекси проблемалуу объект деп таанылган учурда ал курулуш комплекси боюнча жаңы келишимдерди, ошондой эле мурда түзүлгөн келишимдерге өзгөртүүлөрдү жана толуктоолорду белгиленген тартипте эсепке алуу токтотулат.</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23. Үлүшчүнү алмаштыруу менен байланышкан келишимге өзгөртүүлөрдү киргизүү Кыргыз Республикасынын Граждандык кодексинде белгиленген тартипте жүзөгө ашырылат.</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 xml:space="preserve">Үлүшчүнүн өз үлүшүн башка адамдын пайдасына талап кылуу укугунан баш тартуусун караган макулдашууга кол коюуда үлүшчүнүн </w:t>
      </w:r>
      <w:r w:rsidRPr="00406CF9">
        <w:rPr>
          <w:rFonts w:ascii="Times New Roman" w:eastAsia="Calibri" w:hAnsi="Times New Roman" w:cs="Times New Roman"/>
          <w:sz w:val="28"/>
          <w:szCs w:val="28"/>
          <w:lang w:val="ky-KG"/>
        </w:rPr>
        <w:lastRenderedPageBreak/>
        <w:t>жубайынын нотариалдык күбөлөндүрүлгөн макулдугун милдеттүү түрдө берүү</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 xml:space="preserve"> Келишимдер, ошондой эле ушул Жободо белгиленген тартипте эсепке коюлбаган келишимдерге киргизилген өзгөртүүлөр жана толуктоолор жараксыз деп эсептелет.</w:t>
      </w:r>
    </w:p>
    <w:p w:rsidR="00406CF9" w:rsidRPr="00406CF9" w:rsidRDefault="00406CF9" w:rsidP="00406CF9">
      <w:pPr>
        <w:spacing w:after="200" w:line="240" w:lineRule="auto"/>
        <w:jc w:val="center"/>
        <w:rPr>
          <w:rFonts w:ascii="Times New Roman" w:eastAsia="Calibri" w:hAnsi="Times New Roman" w:cs="Times New Roman"/>
          <w:sz w:val="28"/>
          <w:szCs w:val="28"/>
          <w:lang w:val="ky-KG"/>
        </w:rPr>
      </w:pPr>
      <w:r w:rsidRPr="00406CF9">
        <w:rPr>
          <w:rFonts w:ascii="Times New Roman" w:eastAsia="Calibri" w:hAnsi="Times New Roman" w:cs="Times New Roman"/>
          <w:b/>
          <w:sz w:val="28"/>
          <w:szCs w:val="28"/>
          <w:lang w:val="ky-KG"/>
        </w:rPr>
        <w:t>4-бөлүм. Ыйгарым укуктуу мамлекеттик орган тарабынан курулуш объекттери жөнүндө маалыматтарды жүргүзүү</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24. Ыйгарым укуктуу орган үлүштүк курулуш объекттери тууралуу төмөнкү жалпыга жеткиликтүү маалыматтарды электрондук платформада жүргүзүүнү ишке ашырат:</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үлүштүк курулуш объектти жайгашкан курулуш комплекси тууралуу маалымат (көп батирлүү үйлөрдүн саны, турак жана турак эмес жайлар, инженердик, жол-транспорттук жана социалдык инфратүзүм объекттери, ошондой эле долбоор боюнча көмөкчү объекттер);</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куруучу жана курулуштук-подряддык уюм (башкы подрядчы) жөнүндө маалымат;</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көйгөйлүү курулуш объекттери жана ак ниет эмес куруучулар жөнүндө маалымат.</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25. Ыйгарым укуктуу мамлекеттик орган маалыматты дайыма жаңыртып турууну жана ага ачык жетүүнү камсыз кылат</w:t>
      </w:r>
    </w:p>
    <w:p w:rsidR="00406CF9" w:rsidRPr="00406CF9" w:rsidRDefault="00406CF9" w:rsidP="00406CF9">
      <w:pPr>
        <w:spacing w:after="200" w:line="240" w:lineRule="auto"/>
        <w:ind w:firstLine="708"/>
        <w:jc w:val="both"/>
        <w:rPr>
          <w:rFonts w:ascii="Times New Roman" w:eastAsia="Calibri" w:hAnsi="Times New Roman" w:cs="Times New Roman"/>
          <w:sz w:val="28"/>
          <w:szCs w:val="28"/>
          <w:lang w:val="ky-KG"/>
        </w:rPr>
      </w:pPr>
      <w:r w:rsidRPr="00406CF9">
        <w:rPr>
          <w:rFonts w:ascii="Times New Roman" w:eastAsia="Calibri" w:hAnsi="Times New Roman" w:cs="Times New Roman"/>
          <w:b/>
          <w:sz w:val="28"/>
          <w:szCs w:val="28"/>
          <w:lang w:val="ky-KG"/>
        </w:rPr>
        <w:t>5-бөлүм. Үлүшчүлөрдүн каражаттарын пайдалануу тартиби</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26. Үлүшчүлөрдүн каражаттарын топтоо максатында куруучу тейлөөчү коммерциялык банкта ар бир курулуш комплекси боюнча өзүнчө эсептешүү эсебин ачат</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27. Куруучунун өзүнчө эсептешүү эсебиндеги каражаттар курулушчу менен үлүшчүлөрдүн ортосундагы келишимдер боюнча милдеттенмелерди аткаруу максатында гана пайдаланылышы мүмкүн.</w:t>
      </w:r>
    </w:p>
    <w:p w:rsidR="00406CF9" w:rsidRPr="00406CF9" w:rsidRDefault="00406CF9" w:rsidP="00406CF9">
      <w:pPr>
        <w:spacing w:after="200" w:line="240" w:lineRule="auto"/>
        <w:ind w:firstLine="708"/>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28.  Куруучунун жетекчиси жана башкы бухгалтери үлүшчүлөрдүн каражаттарын максаттуу пайдалануу үчүн жеке жоопкерчилик тартышат.</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29. Куруучунун өзүнчө алыш-бериш эсебинде топтолгон үлүшчүлөрдүн каражаттарын төмөнкү максаттарга багыттоого тыюу салынат:</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курулуш комплексинде баштапкы курулуш иштерин жүргүзүү үчүн тартылган каражаттарды кошпогондо, башка насыяларды жабуу;</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lastRenderedPageBreak/>
        <w:tab/>
        <w:t>каржылык жардам насыясын бөлүү;</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чарбакер субъекттердин уставдык фондун түзүү, акцияларды, үлүштөрдү жана облигацияларды сатып алуу;</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курулуш комплекси менен байланышпаган товарларды (жумуштарды жана кызмат көрсөтүүлөрдү) сатып алуу;</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курулуш комплекси толук пайдаланууга берилгенге чейин уюштуруучуларга (акционерлерге) дивиденддерди төлөө.</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30. Курулуш объектиси толук пайдаланууга киргизилгенден кийин үлүшчүлөрдүн каражаттары куруучунун негизги алыш-бериш эсебине которулат жана курулушчу тарабынан өз алдынча пайдаланылат.</w:t>
      </w:r>
    </w:p>
    <w:p w:rsidR="00406CF9" w:rsidRPr="00406CF9" w:rsidRDefault="00406CF9" w:rsidP="00406CF9">
      <w:pPr>
        <w:spacing w:after="200" w:line="240" w:lineRule="auto"/>
        <w:ind w:firstLine="708"/>
        <w:jc w:val="center"/>
        <w:rPr>
          <w:rFonts w:ascii="Times New Roman" w:eastAsia="Calibri" w:hAnsi="Times New Roman" w:cs="Times New Roman"/>
          <w:b/>
          <w:sz w:val="28"/>
          <w:szCs w:val="28"/>
          <w:lang w:val="ky-KG"/>
        </w:rPr>
      </w:pPr>
      <w:r w:rsidRPr="00406CF9">
        <w:rPr>
          <w:rFonts w:ascii="Times New Roman" w:eastAsia="Calibri" w:hAnsi="Times New Roman" w:cs="Times New Roman"/>
          <w:b/>
          <w:sz w:val="28"/>
          <w:szCs w:val="28"/>
          <w:lang w:val="ky-KG"/>
        </w:rPr>
        <w:t>6-бөлүм. Курулуштун объекттеринин курулушун контролдоо</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31. Курулуштун объекттеринин курулушун контролдоо мыйзам менен белгиленген тартипте ишке ашырылат.</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32. Үлүш ээсинин төмөнкүлөргө укугу бар:</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курулуш объектисинде курулуш иштеринин учурдагы абалы менен таанышууга;</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куруучудан жазуу жүзүндө келишимдин шарттарын аткаруу боюнча маалымат берүүсүн талап кылууга;</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курулуштун объекттеринин курулушуна техникалык контролдоо жүргүзүүгө, ошондой эле мыйзам менен белгиленген тартипте юридикалык жактарды же адистерди тартуу жолу менен каражаттардын максатуу пайдаланышын контролдоого.</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33. Курулуш чөйрөсүндө контролдоо боюнча ыйгарым укуктуу мамлекеттик орган келишимде бекитилген графикке ылайык курулуш-монтаждоо иштерин аткаруу этаптарынын сакталышына мониторинг жүргүзөт.</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34. Куруучулар өзүлөрүнүн расмий веб-сайты же баракчасы аркылуу социалдык тармактарда үлүш ээлеринин каражаттарын чыгымдоо жана курулуш объекттериндеги иштердин аткарылышы жөнүндө үзгүлтүксүз маалымат берип турат, ошондой эле онлайн режиминде курулуш объектине байкоо жүргүзүү мүмкүнчүлүгүн камсыз кылат.</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35. Курулуш комплекси ыйгарым укуктуу мамлекеттик орган тарабынан төмөнкүдөй учурларда көйгөйлүү объекттер категориясына кириши мүмкүн:</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lastRenderedPageBreak/>
        <w:tab/>
        <w:t>курулуш жана шаар куруу ченемдери жана эрежелери одоно бузулганда;</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курулуш объекттин  пайдаланууга киргизүү алты айдан ашык негизсиз кармалганда;</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куруучу менен үлүш ээлерине курулуш объекттерин тапшыруу же аны банкрот деп жарыялоо боюнча милдеттер бузулганда.</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36. Көйгөйлүү объект жөнүндө материалдар ыйгарым укуктуу мамлекеттик орган менен белгиленген тартипте тиешелүү укук коргоо органдарына жиберилет.</w:t>
      </w:r>
    </w:p>
    <w:p w:rsidR="00406CF9" w:rsidRPr="00406CF9" w:rsidRDefault="00406CF9" w:rsidP="00406CF9">
      <w:pPr>
        <w:spacing w:after="200" w:line="240" w:lineRule="auto"/>
        <w:ind w:firstLine="708"/>
        <w:jc w:val="center"/>
        <w:rPr>
          <w:rFonts w:ascii="Times New Roman" w:eastAsia="Calibri" w:hAnsi="Times New Roman" w:cs="Times New Roman"/>
          <w:sz w:val="28"/>
          <w:szCs w:val="28"/>
          <w:lang w:val="ky-KG"/>
        </w:rPr>
      </w:pPr>
      <w:r w:rsidRPr="00406CF9">
        <w:rPr>
          <w:rFonts w:ascii="Times New Roman" w:eastAsia="Calibri" w:hAnsi="Times New Roman" w:cs="Times New Roman"/>
          <w:b/>
          <w:sz w:val="28"/>
          <w:szCs w:val="28"/>
          <w:lang w:val="ky-KG"/>
        </w:rPr>
        <w:t>7-бөлүм. Курулуш объекттерин пайдаланууга киргизүү тартиби</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37.  Курулуш объектиси келишимде каралган курулуш-монтаждоо жана көрктөндүрүү иштери аяктагандан кийин мыйзамдарда белгиленген тартипте пайдаланууга берилет.</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38. Курулуш объектиси үлүшчүгө кабыл алуу-өткөрүп берүү актысынын негизинде тапшырылат.</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39.  Курулуш объектисине үлүш ээсинин менчик укугун мамлекеттик каттоо келишимдин, куруучу менен үлүш ээсинин ортосунда кол коюлган кабыл алуу-өткөрүп берүү актысынын, ошондой эле курулуш объектисин пайдаланууга кабыл алуу жөнүндө актынын негизинде жүргүзүлөт.</w:t>
      </w:r>
    </w:p>
    <w:p w:rsidR="00406CF9" w:rsidRPr="00406CF9" w:rsidRDefault="00406CF9" w:rsidP="00406CF9">
      <w:pPr>
        <w:spacing w:after="200" w:line="240" w:lineRule="auto"/>
        <w:jc w:val="center"/>
        <w:rPr>
          <w:rFonts w:ascii="Times New Roman" w:eastAsia="Calibri" w:hAnsi="Times New Roman" w:cs="Times New Roman"/>
          <w:sz w:val="28"/>
          <w:szCs w:val="28"/>
          <w:lang w:val="ky-KG"/>
        </w:rPr>
      </w:pPr>
      <w:r w:rsidRPr="00406CF9">
        <w:rPr>
          <w:rFonts w:ascii="Times New Roman" w:eastAsia="Calibri" w:hAnsi="Times New Roman" w:cs="Times New Roman"/>
          <w:b/>
          <w:sz w:val="28"/>
          <w:szCs w:val="28"/>
          <w:lang w:val="ky-KG"/>
        </w:rPr>
        <w:t>8-бөлүм. Корутунду жобо</w:t>
      </w:r>
    </w:p>
    <w:p w:rsidR="00406CF9" w:rsidRPr="00406CF9" w:rsidRDefault="00406CF9" w:rsidP="00406CF9">
      <w:pPr>
        <w:spacing w:after="200" w:line="240" w:lineRule="auto"/>
        <w:jc w:val="both"/>
        <w:rPr>
          <w:rFonts w:ascii="Times New Roman" w:eastAsia="Calibri" w:hAnsi="Times New Roman" w:cs="Times New Roman"/>
          <w:sz w:val="28"/>
          <w:szCs w:val="28"/>
          <w:lang w:val="ky-KG"/>
        </w:rPr>
      </w:pPr>
      <w:r w:rsidRPr="00406CF9">
        <w:rPr>
          <w:rFonts w:ascii="Times New Roman" w:eastAsia="Calibri" w:hAnsi="Times New Roman" w:cs="Times New Roman"/>
          <w:sz w:val="28"/>
          <w:szCs w:val="28"/>
          <w:lang w:val="ky-KG"/>
        </w:rPr>
        <w:tab/>
        <w:t>40. Келишимдерден келип чыккан талаш-тартыштар Кыргыз Республикасынын Граждандык кодексинде белгиленген тартипте чечилет.</w:t>
      </w:r>
    </w:p>
    <w:p w:rsidR="008347C6" w:rsidRPr="00406CF9" w:rsidRDefault="00406CF9" w:rsidP="002D42E2">
      <w:pPr>
        <w:jc w:val="both"/>
        <w:rPr>
          <w:lang w:val="ky-KG"/>
        </w:rPr>
      </w:pPr>
      <w:r w:rsidRPr="00406CF9">
        <w:rPr>
          <w:rFonts w:ascii="Times New Roman" w:eastAsia="Calibri" w:hAnsi="Times New Roman" w:cs="Times New Roman"/>
          <w:sz w:val="28"/>
          <w:szCs w:val="28"/>
          <w:lang w:val="ky-KG"/>
        </w:rPr>
        <w:tab/>
        <w:t>41. Ушул Жобонун тала</w:t>
      </w:r>
      <w:r w:rsidR="002D42E2">
        <w:rPr>
          <w:rFonts w:ascii="Times New Roman" w:eastAsia="Calibri" w:hAnsi="Times New Roman" w:cs="Times New Roman"/>
          <w:sz w:val="28"/>
          <w:szCs w:val="28"/>
          <w:lang w:val="ky-KG"/>
        </w:rPr>
        <w:t>птарын бузууга күнөөлүү жактар У</w:t>
      </w:r>
      <w:r w:rsidRPr="00406CF9">
        <w:rPr>
          <w:rFonts w:ascii="Times New Roman" w:eastAsia="Calibri" w:hAnsi="Times New Roman" w:cs="Times New Roman"/>
          <w:sz w:val="28"/>
          <w:szCs w:val="28"/>
          <w:lang w:val="ky-KG"/>
        </w:rPr>
        <w:t>кук бузуулар жөнүндө Кыргыз Республикасынын Кодексине ылайык жоопкерчилик тарт</w:t>
      </w:r>
      <w:bookmarkStart w:id="0" w:name="_GoBack"/>
      <w:bookmarkEnd w:id="0"/>
    </w:p>
    <w:sectPr w:rsidR="008347C6" w:rsidRPr="00406CF9" w:rsidSect="002D42E2">
      <w:pgSz w:w="11906" w:h="16838"/>
      <w:pgMar w:top="1134" w:right="170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845"/>
    <w:rsid w:val="002D42E2"/>
    <w:rsid w:val="00406CF9"/>
    <w:rsid w:val="00754845"/>
    <w:rsid w:val="008347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6394D6-0280-44DA-81C6-B8AE9C862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D42E2"/>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2D42E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2057</Words>
  <Characters>11731</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Госстрой</dc:creator>
  <cp:keywords/>
  <dc:description/>
  <cp:lastModifiedBy>Госстрой</cp:lastModifiedBy>
  <cp:revision>3</cp:revision>
  <cp:lastPrinted>2022-03-16T08:30:00Z</cp:lastPrinted>
  <dcterms:created xsi:type="dcterms:W3CDTF">2022-03-16T05:52:00Z</dcterms:created>
  <dcterms:modified xsi:type="dcterms:W3CDTF">2022-03-16T08:30:00Z</dcterms:modified>
</cp:coreProperties>
</file>