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AFE5" w14:textId="1636202D" w:rsidR="00362542" w:rsidRPr="00DA04D7" w:rsidRDefault="008001E1" w:rsidP="00251AC1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Долбоор</w:t>
      </w:r>
      <w:r w:rsidR="00362542" w:rsidRPr="00DA04D7">
        <w:rPr>
          <w:rFonts w:ascii="Times New Roman" w:hAnsi="Times New Roman"/>
          <w:sz w:val="28"/>
          <w:szCs w:val="28"/>
        </w:rPr>
        <w:t xml:space="preserve"> </w:t>
      </w:r>
    </w:p>
    <w:p w14:paraId="1046B7AA" w14:textId="77777777" w:rsidR="00362542" w:rsidRPr="00DA04D7" w:rsidRDefault="00362542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69085" w14:textId="77777777" w:rsidR="00362542" w:rsidRPr="00DA04D7" w:rsidRDefault="00362542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428073" w14:textId="559A6D5F" w:rsidR="00362542" w:rsidRPr="008001E1" w:rsidRDefault="008001E1" w:rsidP="00251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КЫРГЫЗ РЕСПУБЛИКАСЫНЫН МИНИСТРЛЕР КАБИНЕТИНИН ТОКТОМУ</w:t>
      </w:r>
    </w:p>
    <w:p w14:paraId="78EAE401" w14:textId="77777777" w:rsidR="00973FE0" w:rsidRPr="00FA5D1C" w:rsidRDefault="00973FE0" w:rsidP="00251AC1">
      <w:pPr>
        <w:shd w:val="clear" w:color="auto" w:fill="FFFFFF"/>
        <w:tabs>
          <w:tab w:val="left" w:pos="1134"/>
        </w:tabs>
        <w:spacing w:after="0" w:line="240" w:lineRule="auto"/>
        <w:ind w:firstLine="708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2A77128" w14:textId="2484C43F" w:rsidR="008001E1" w:rsidRPr="008001E1" w:rsidRDefault="008001E1" w:rsidP="0080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106444">
        <w:rPr>
          <w:rFonts w:ascii="Times New Roman" w:hAnsi="Times New Roman"/>
          <w:b/>
          <w:sz w:val="28"/>
          <w:szCs w:val="28"/>
        </w:rPr>
        <w:t xml:space="preserve">Кыргыз Республикасынын </w:t>
      </w:r>
      <w:r>
        <w:rPr>
          <w:rFonts w:ascii="Times New Roman" w:hAnsi="Times New Roman"/>
          <w:b/>
          <w:sz w:val="28"/>
          <w:szCs w:val="28"/>
          <w:lang w:val="ky-KG"/>
        </w:rPr>
        <w:t>“</w:t>
      </w:r>
      <w:r w:rsidRPr="00106444">
        <w:rPr>
          <w:rFonts w:ascii="Times New Roman" w:hAnsi="Times New Roman"/>
          <w:b/>
          <w:sz w:val="28"/>
          <w:szCs w:val="28"/>
        </w:rPr>
        <w:t>Менин үйүм 2021-2026</w:t>
      </w:r>
      <w:r>
        <w:rPr>
          <w:rFonts w:ascii="Times New Roman" w:hAnsi="Times New Roman"/>
          <w:b/>
          <w:sz w:val="28"/>
          <w:szCs w:val="28"/>
          <w:lang w:val="ky-KG"/>
        </w:rPr>
        <w:t>”</w:t>
      </w:r>
    </w:p>
    <w:p w14:paraId="2BBA7864" w14:textId="4AFF29BA" w:rsidR="00106444" w:rsidRPr="008001E1" w:rsidRDefault="008001E1" w:rsidP="0010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</w:t>
      </w:r>
      <w:r w:rsidR="00106444" w:rsidRPr="008001E1">
        <w:rPr>
          <w:rFonts w:ascii="Times New Roman" w:hAnsi="Times New Roman"/>
          <w:b/>
          <w:sz w:val="28"/>
          <w:szCs w:val="28"/>
          <w:lang w:val="ky-KG"/>
        </w:rPr>
        <w:t>урак жай программасынын алкагында мамлекеттик ипотекалык кредиттер</w:t>
      </w:r>
      <w:r>
        <w:rPr>
          <w:rFonts w:ascii="Times New Roman" w:hAnsi="Times New Roman"/>
          <w:b/>
          <w:sz w:val="28"/>
          <w:szCs w:val="28"/>
          <w:lang w:val="ky-KG"/>
        </w:rPr>
        <w:t>дин</w:t>
      </w:r>
      <w:r w:rsidR="00106444" w:rsidRPr="008001E1">
        <w:rPr>
          <w:rFonts w:ascii="Times New Roman" w:hAnsi="Times New Roman"/>
          <w:b/>
          <w:sz w:val="28"/>
          <w:szCs w:val="28"/>
          <w:lang w:val="ky-KG"/>
        </w:rPr>
        <w:t xml:space="preserve"> пайыздык чени</w:t>
      </w:r>
      <w:r>
        <w:rPr>
          <w:rFonts w:ascii="Times New Roman" w:hAnsi="Times New Roman"/>
          <w:b/>
          <w:sz w:val="28"/>
          <w:szCs w:val="28"/>
          <w:lang w:val="ky-KG"/>
        </w:rPr>
        <w:t>н</w:t>
      </w:r>
      <w:r w:rsidR="00106444" w:rsidRPr="008001E1">
        <w:rPr>
          <w:rFonts w:ascii="Times New Roman" w:hAnsi="Times New Roman"/>
          <w:b/>
          <w:sz w:val="28"/>
          <w:szCs w:val="28"/>
          <w:lang w:val="ky-KG"/>
        </w:rPr>
        <w:t xml:space="preserve"> белгилөө жөнүндө</w:t>
      </w:r>
    </w:p>
    <w:p w14:paraId="0C25B03E" w14:textId="1D34F883" w:rsidR="000A3981" w:rsidRPr="008001E1" w:rsidRDefault="000A3981" w:rsidP="00251A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42E88A4" w14:textId="77777777" w:rsidR="00251AC1" w:rsidRPr="008001E1" w:rsidRDefault="00251AC1" w:rsidP="00251AC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680AE45" w14:textId="14527126" w:rsidR="008001E1" w:rsidRPr="008001E1" w:rsidRDefault="003C6EF2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8001E1">
        <w:rPr>
          <w:rFonts w:ascii="Times New Roman" w:hAnsi="Times New Roman" w:cs="Times New Roman"/>
          <w:sz w:val="28"/>
          <w:szCs w:val="28"/>
          <w:lang w:val="ky-KG"/>
        </w:rPr>
        <w:t xml:space="preserve">“Мамлекеттик ипотекалык </w:t>
      </w:r>
      <w:r>
        <w:rPr>
          <w:rFonts w:ascii="Times New Roman" w:hAnsi="Times New Roman" w:cs="Times New Roman"/>
          <w:sz w:val="28"/>
          <w:szCs w:val="28"/>
          <w:lang w:val="ky-KG"/>
        </w:rPr>
        <w:t>турак жай насыясы</w:t>
      </w:r>
      <w:r w:rsidRPr="008001E1">
        <w:rPr>
          <w:rFonts w:ascii="Times New Roman" w:hAnsi="Times New Roman" w:cs="Times New Roman"/>
          <w:sz w:val="28"/>
          <w:szCs w:val="28"/>
          <w:lang w:val="ky-KG"/>
        </w:rPr>
        <w:t xml:space="preserve"> жөнүндө”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01E1" w:rsidRPr="008001E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Мыйзамынын  10-беренесин ишке ашыруу 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>максатында,</w:t>
      </w:r>
      <w:r w:rsidR="008001E1" w:rsidRPr="008001E1">
        <w:rPr>
          <w:rFonts w:ascii="Times New Roman" w:hAnsi="Times New Roman" w:cs="Times New Roman"/>
          <w:sz w:val="28"/>
          <w:szCs w:val="28"/>
          <w:lang w:val="ky-KG"/>
        </w:rPr>
        <w:t xml:space="preserve"> “Кыргыз Республикасынын Министрлер Кабинети жөнүндө” Кыргыз Республикасынын конституциялык Мыйзамынын 13 жана 17-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>беренелерине</w:t>
      </w:r>
      <w:r w:rsidR="008001E1" w:rsidRPr="008001E1">
        <w:rPr>
          <w:rFonts w:ascii="Times New Roman" w:hAnsi="Times New Roman" w:cs="Times New Roman"/>
          <w:sz w:val="28"/>
          <w:szCs w:val="28"/>
          <w:lang w:val="ky-KG"/>
        </w:rPr>
        <w:t xml:space="preserve"> ылайык, Кыргыз Республикасынын Министрлери 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>токтом кылат:</w:t>
      </w:r>
    </w:p>
    <w:p w14:paraId="664FBAEF" w14:textId="77777777" w:rsidR="007C7F8A" w:rsidRPr="008001E1" w:rsidRDefault="007C7F8A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14:paraId="2ACA0792" w14:textId="39CB83BD" w:rsidR="00877410" w:rsidRPr="0018776A" w:rsidRDefault="009C1AF2" w:rsidP="00251A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8776A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877410" w:rsidRPr="0018776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2021-жылдын 13-июлундагы № 75 токтому менен бекитилген “Менин үйүм 2021-2026” Кыргыз Республикасынын турак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77410" w:rsidRPr="0018776A">
        <w:rPr>
          <w:rFonts w:ascii="Times New Roman" w:hAnsi="Times New Roman" w:cs="Times New Roman"/>
          <w:sz w:val="28"/>
          <w:szCs w:val="28"/>
          <w:lang w:val="ky-KG"/>
        </w:rPr>
        <w:t>жай программасынын алкагында берил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="00877410" w:rsidRPr="0018776A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ипотекалык кредиттер боюнча пайыздык чендердин де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>ң</w:t>
      </w:r>
      <w:r w:rsidR="00877410" w:rsidRPr="0018776A">
        <w:rPr>
          <w:rFonts w:ascii="Times New Roman" w:hAnsi="Times New Roman" w:cs="Times New Roman"/>
          <w:sz w:val="28"/>
          <w:szCs w:val="28"/>
          <w:lang w:val="ky-KG"/>
        </w:rPr>
        <w:t xml:space="preserve">гээли төмөнкү </w:t>
      </w:r>
      <w:r w:rsidR="008001E1">
        <w:rPr>
          <w:rFonts w:ascii="Times New Roman" w:hAnsi="Times New Roman" w:cs="Times New Roman"/>
          <w:sz w:val="28"/>
          <w:szCs w:val="28"/>
          <w:lang w:val="ky-KG"/>
        </w:rPr>
        <w:t>түрдө белгиленсин</w:t>
      </w:r>
      <w:r w:rsidR="00877410" w:rsidRPr="0018776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4085FC0" w14:textId="7304535C" w:rsidR="00877410" w:rsidRPr="007228FF" w:rsidRDefault="001C34EC" w:rsidP="008774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228FF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228FF" w:rsidRPr="007228FF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бюджеттен жана </w:t>
      </w:r>
      <w:r w:rsidR="00DE7F5B" w:rsidRPr="007228FF">
        <w:rPr>
          <w:rFonts w:ascii="Times New Roman" w:hAnsi="Times New Roman" w:cs="Times New Roman"/>
          <w:sz w:val="28"/>
          <w:szCs w:val="28"/>
          <w:lang w:val="ky-KG"/>
        </w:rPr>
        <w:t>ипотекалык турак жайды насыялоо чөйрөсүндөгү ыйгарым укуктуу орган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877410" w:rsidRPr="007228FF">
        <w:rPr>
          <w:rFonts w:ascii="Times New Roman" w:hAnsi="Times New Roman" w:cs="Times New Roman"/>
          <w:sz w:val="28"/>
          <w:szCs w:val="28"/>
          <w:lang w:val="ky-KG"/>
        </w:rPr>
        <w:t xml:space="preserve"> жүгүртүү каражаттарынын эсебинен каржылануучу, анын ичинде ислам каржылоо принциптерине ылайык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77410" w:rsidRPr="007228FF">
        <w:rPr>
          <w:rFonts w:ascii="Times New Roman" w:hAnsi="Times New Roman" w:cs="Times New Roman"/>
          <w:sz w:val="28"/>
          <w:szCs w:val="28"/>
          <w:lang w:val="ky-KG"/>
        </w:rPr>
        <w:t xml:space="preserve"> жаңыдан берилген мамлекеттик ипотекалык кредиттер боюнча пайыздык чен төмөнкүдөй белгиленет:</w:t>
      </w:r>
    </w:p>
    <w:p w14:paraId="104E0F7C" w14:textId="728687DB" w:rsidR="00877410" w:rsidRPr="00877410" w:rsidRDefault="003C6EF2" w:rsidP="008774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877410" w:rsidRPr="00877410">
        <w:rPr>
          <w:rFonts w:ascii="Times New Roman" w:hAnsi="Times New Roman" w:cs="Times New Roman"/>
          <w:sz w:val="28"/>
          <w:szCs w:val="28"/>
        </w:rPr>
        <w:t>Жеңилдетилген ипотека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877410" w:rsidRPr="00877410">
        <w:rPr>
          <w:rFonts w:ascii="Times New Roman" w:hAnsi="Times New Roman" w:cs="Times New Roman"/>
          <w:sz w:val="28"/>
          <w:szCs w:val="28"/>
        </w:rPr>
        <w:t xml:space="preserve"> турак жайды каржылоо багытында - жылдык 4%;</w:t>
      </w:r>
    </w:p>
    <w:p w14:paraId="2517F807" w14:textId="2B0EB7E6" w:rsidR="00877410" w:rsidRPr="00FA5D1C" w:rsidRDefault="003C6EF2" w:rsidP="008774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>Арзан</w:t>
      </w:r>
      <w:r w:rsidR="00877410" w:rsidRPr="00877410">
        <w:rPr>
          <w:rFonts w:ascii="Times New Roman" w:hAnsi="Times New Roman" w:cs="Times New Roman"/>
          <w:sz w:val="28"/>
          <w:szCs w:val="28"/>
        </w:rPr>
        <w:t xml:space="preserve"> ипотека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877410" w:rsidRPr="00877410">
        <w:rPr>
          <w:rFonts w:ascii="Times New Roman" w:hAnsi="Times New Roman" w:cs="Times New Roman"/>
          <w:sz w:val="28"/>
          <w:szCs w:val="28"/>
        </w:rPr>
        <w:t xml:space="preserve"> турак жайды каржылоо багытында - жылдык 8%.</w:t>
      </w:r>
    </w:p>
    <w:p w14:paraId="0536037B" w14:textId="4F89C7B2" w:rsidR="00877410" w:rsidRPr="00FA5D1C" w:rsidRDefault="003806E9" w:rsidP="001C34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2</w:t>
      </w:r>
      <w:r w:rsidR="001C34EC" w:rsidRPr="00FA5D1C">
        <w:rPr>
          <w:rFonts w:ascii="Times New Roman" w:hAnsi="Times New Roman" w:cs="Times New Roman"/>
          <w:sz w:val="28"/>
          <w:szCs w:val="28"/>
        </w:rPr>
        <w:t xml:space="preserve">) 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877410" w:rsidRPr="00877410">
        <w:rPr>
          <w:rFonts w:ascii="Times New Roman" w:hAnsi="Times New Roman" w:cs="Times New Roman"/>
          <w:sz w:val="28"/>
          <w:szCs w:val="28"/>
        </w:rPr>
        <w:t>юджеттен тышкаркы каражаттарынын эсебинен каржылануучу, анын ичинде ипотекалык баалуу кагаздарды чыгаруу жолу менен тартылган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каражаттар,</w:t>
      </w:r>
      <w:r w:rsidR="00877410" w:rsidRPr="00877410">
        <w:rPr>
          <w:rFonts w:ascii="Times New Roman" w:hAnsi="Times New Roman" w:cs="Times New Roman"/>
          <w:sz w:val="28"/>
          <w:szCs w:val="28"/>
        </w:rPr>
        <w:t xml:space="preserve"> мамлекеттик ипотекалык кредиттер боюнча пайыздык чендерди жана кредит берүүнүн, ошондой эле ислам принциптери боюнча турак жайды каржылоонун жалпы шарттары </w:t>
      </w:r>
      <w:r w:rsidR="007228FF" w:rsidRPr="00877410">
        <w:rPr>
          <w:rFonts w:ascii="Times New Roman" w:hAnsi="Times New Roman" w:cs="Times New Roman"/>
          <w:sz w:val="28"/>
          <w:szCs w:val="28"/>
        </w:rPr>
        <w:t>мамлекеттик турак жай каржылоо секторуна ресурстарды тартууга кеткен чыгымдарды эске алуу менен жана жогоруда аталган турак жай программасын ишке ашыруу үчүн инвестициялык каражаттарды берген донорлор/инвесторлор менен түзүлгөн келишимдерге ылайык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7228FF" w:rsidRPr="007228FF">
        <w:rPr>
          <w:rFonts w:ascii="Times New Roman" w:hAnsi="Times New Roman" w:cs="Times New Roman"/>
          <w:sz w:val="28"/>
          <w:szCs w:val="28"/>
          <w:lang w:val="ky-KG"/>
        </w:rPr>
        <w:t>ипотекалык турак жайды насыялоо чөйрөсүндөгү ыйгарым укуктуу орган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бекитилет</w:t>
      </w:r>
      <w:r w:rsidR="00877410" w:rsidRPr="00877410">
        <w:rPr>
          <w:rFonts w:ascii="Times New Roman" w:hAnsi="Times New Roman" w:cs="Times New Roman"/>
          <w:sz w:val="28"/>
          <w:szCs w:val="28"/>
        </w:rPr>
        <w:t>.</w:t>
      </w:r>
    </w:p>
    <w:p w14:paraId="6E37E421" w14:textId="318C21F8" w:rsidR="00877410" w:rsidRPr="00FA5D1C" w:rsidRDefault="00FB61C0" w:rsidP="00FB61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91423346"/>
      <w:r w:rsidR="00877410" w:rsidRPr="00877410">
        <w:rPr>
          <w:rFonts w:ascii="Times New Roman" w:hAnsi="Times New Roman" w:cs="Times New Roman"/>
          <w:sz w:val="28"/>
          <w:szCs w:val="28"/>
        </w:rPr>
        <w:t xml:space="preserve">Кыргыз Республикасынын Министрлер Кабинетинин 2021-жылдын 13-июлундагы 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 xml:space="preserve">№ </w:t>
      </w:r>
      <w:r w:rsidR="00877410" w:rsidRPr="00877410">
        <w:rPr>
          <w:rFonts w:ascii="Times New Roman" w:hAnsi="Times New Roman" w:cs="Times New Roman"/>
          <w:sz w:val="28"/>
          <w:szCs w:val="28"/>
        </w:rPr>
        <w:t>75 “Менин үйүм 2021-2026” Кыргыз Республикасынын турак жай программасын бекитүү жөнүндө” токтомунун 1-тиркемесине төмөнкүдөй өзгөртүүлөр киргизилсин</w:t>
      </w:r>
      <w:bookmarkEnd w:id="0"/>
      <w:r w:rsidR="00877410" w:rsidRPr="00877410">
        <w:rPr>
          <w:rFonts w:ascii="Times New Roman" w:hAnsi="Times New Roman" w:cs="Times New Roman"/>
          <w:sz w:val="28"/>
          <w:szCs w:val="28"/>
        </w:rPr>
        <w:t>:</w:t>
      </w:r>
    </w:p>
    <w:p w14:paraId="471100FA" w14:textId="570307FF" w:rsidR="00877410" w:rsidRPr="00877410" w:rsidRDefault="00ED0C9C" w:rsidP="008774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12CC" w:rsidRPr="00FA5D1C">
        <w:rPr>
          <w:rFonts w:ascii="Times New Roman" w:hAnsi="Times New Roman" w:cs="Times New Roman"/>
          <w:sz w:val="28"/>
          <w:szCs w:val="28"/>
        </w:rPr>
        <w:t xml:space="preserve">) </w:t>
      </w:r>
      <w:r w:rsidR="00877410" w:rsidRPr="00877410">
        <w:rPr>
          <w:rFonts w:ascii="Times New Roman" w:hAnsi="Times New Roman" w:cs="Times New Roman"/>
          <w:sz w:val="28"/>
          <w:szCs w:val="28"/>
        </w:rPr>
        <w:t xml:space="preserve">19-пункт төмөнкүдөй мазмундагы 4-пунктча менен толукталсын: 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877410" w:rsidRPr="00877410">
        <w:rPr>
          <w:rFonts w:ascii="Times New Roman" w:hAnsi="Times New Roman" w:cs="Times New Roman"/>
          <w:sz w:val="28"/>
          <w:szCs w:val="28"/>
        </w:rPr>
        <w:t>Программаны ишке ашыруунун натыйжалуулугун камсыз кылуу жана Программага катышуучу жарандарды камтууну жогорулатуу максатында гарантиялык фонддордун</w:t>
      </w:r>
      <w:r w:rsidR="007228FF">
        <w:rPr>
          <w:rFonts w:ascii="Times New Roman" w:hAnsi="Times New Roman" w:cs="Times New Roman"/>
          <w:sz w:val="28"/>
          <w:szCs w:val="28"/>
          <w:lang w:val="ky-KG"/>
        </w:rPr>
        <w:t xml:space="preserve"> инструменттери колдонулат</w:t>
      </w:r>
      <w:r w:rsidR="00877410" w:rsidRPr="00877410">
        <w:rPr>
          <w:rFonts w:ascii="Times New Roman" w:hAnsi="Times New Roman" w:cs="Times New Roman"/>
          <w:sz w:val="28"/>
          <w:szCs w:val="28"/>
        </w:rPr>
        <w:t>:</w:t>
      </w:r>
    </w:p>
    <w:p w14:paraId="725F58AD" w14:textId="2AF3C08D" w:rsidR="00877410" w:rsidRPr="00877410" w:rsidRDefault="00877410" w:rsidP="008774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410">
        <w:rPr>
          <w:rFonts w:ascii="Times New Roman" w:hAnsi="Times New Roman" w:cs="Times New Roman"/>
          <w:sz w:val="28"/>
          <w:szCs w:val="28"/>
        </w:rPr>
        <w:t xml:space="preserve">- коммерциялык банктардын катышуусу менен турак жайды каржылоодо кредиттик тобокелдиктерди диверсификациялоо жана турак жайды каржылоо системасынын туруктуулугу үчүн </w:t>
      </w:r>
      <w:r w:rsidR="007228FF" w:rsidRPr="00877410">
        <w:rPr>
          <w:rFonts w:ascii="Times New Roman" w:hAnsi="Times New Roman" w:cs="Times New Roman"/>
          <w:sz w:val="28"/>
          <w:szCs w:val="28"/>
        </w:rPr>
        <w:t xml:space="preserve">портфелдик кепилдиктер </w:t>
      </w:r>
      <w:r w:rsidRPr="00877410">
        <w:rPr>
          <w:rFonts w:ascii="Times New Roman" w:hAnsi="Times New Roman" w:cs="Times New Roman"/>
          <w:sz w:val="28"/>
          <w:szCs w:val="28"/>
        </w:rPr>
        <w:t>колдонулат;</w:t>
      </w:r>
    </w:p>
    <w:p w14:paraId="1572D560" w14:textId="6D64B378" w:rsidR="00877410" w:rsidRPr="00B502CD" w:rsidRDefault="00877410" w:rsidP="0087741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877410">
        <w:rPr>
          <w:rFonts w:ascii="Times New Roman" w:hAnsi="Times New Roman" w:cs="Times New Roman"/>
          <w:sz w:val="28"/>
          <w:szCs w:val="28"/>
        </w:rPr>
        <w:t>- курулуш уюмдарынын катышуусу менен жеткиликтүү турак жайларды курууда кепилдик фонддордун башка инструменттери колдонулат</w:t>
      </w:r>
      <w:r w:rsidR="00B502CD">
        <w:rPr>
          <w:rFonts w:ascii="Times New Roman" w:hAnsi="Times New Roman" w:cs="Times New Roman"/>
          <w:sz w:val="28"/>
          <w:szCs w:val="28"/>
          <w:lang w:val="ky-KG"/>
        </w:rPr>
        <w:t>.”;</w:t>
      </w:r>
    </w:p>
    <w:p w14:paraId="05B619AE" w14:textId="77777777" w:rsidR="00A217CA" w:rsidRDefault="00ED0C9C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502CD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F04FBC" w:rsidRPr="00B502C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217CA" w:rsidRPr="00170DF7">
        <w:rPr>
          <w:rFonts w:ascii="Times New Roman" w:hAnsi="Times New Roman" w:cs="Times New Roman"/>
          <w:sz w:val="28"/>
          <w:szCs w:val="28"/>
          <w:lang w:val="ky-KG"/>
        </w:rPr>
        <w:t xml:space="preserve">20-пункттун 2-пунктчасынын </w:t>
      </w:r>
      <w:r w:rsidR="00A217CA">
        <w:rPr>
          <w:rFonts w:ascii="Times New Roman" w:hAnsi="Times New Roman" w:cs="Times New Roman"/>
          <w:sz w:val="28"/>
          <w:szCs w:val="28"/>
          <w:lang w:val="ky-KG"/>
        </w:rPr>
        <w:t>2-а</w:t>
      </w:r>
      <w:r w:rsidR="00A217CA" w:rsidRPr="00170DF7">
        <w:rPr>
          <w:rFonts w:ascii="Times New Roman" w:hAnsi="Times New Roman" w:cs="Times New Roman"/>
          <w:sz w:val="28"/>
          <w:szCs w:val="28"/>
          <w:lang w:val="ky-KG"/>
        </w:rPr>
        <w:t>бзацы төмөндөгүдөй редакцияда баяндалсын: “коммерциялык өнөктөш банктардан кредит боюнча укугун талап кылуу МИКке</w:t>
      </w:r>
      <w:r w:rsidR="00A217CA">
        <w:rPr>
          <w:rFonts w:ascii="Times New Roman" w:hAnsi="Times New Roman" w:cs="Times New Roman"/>
          <w:sz w:val="28"/>
          <w:szCs w:val="28"/>
          <w:lang w:val="ky-KG"/>
        </w:rPr>
        <w:t>/башка өнөктөш-банкка кайра каржылоо/</w:t>
      </w:r>
      <w:r w:rsidR="00A217CA" w:rsidRPr="00170DF7">
        <w:rPr>
          <w:rFonts w:ascii="Times New Roman" w:hAnsi="Times New Roman" w:cs="Times New Roman"/>
          <w:sz w:val="28"/>
          <w:szCs w:val="28"/>
          <w:lang w:val="ky-KG"/>
        </w:rPr>
        <w:t>которуу/өткөрүп берүү же башка мүмкүн болгон ыкмаларды колдонуп, жеңилдетилген ипотекалык кредиттер боюнча акыркы пайыздык ченди этап менен жылдык 4%га чейин төмөндөтү</w:t>
      </w:r>
      <w:r w:rsidR="00A217CA">
        <w:rPr>
          <w:rFonts w:ascii="Times New Roman" w:hAnsi="Times New Roman" w:cs="Times New Roman"/>
          <w:sz w:val="28"/>
          <w:szCs w:val="28"/>
          <w:lang w:val="ky-KG"/>
        </w:rPr>
        <w:t>ү”;</w:t>
      </w:r>
    </w:p>
    <w:p w14:paraId="707C172A" w14:textId="53EF79E5" w:rsidR="00A217CA" w:rsidRPr="00B502CD" w:rsidRDefault="00ED0C9C" w:rsidP="00A217C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70DF7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A217CA" w:rsidRPr="00B502CD">
        <w:rPr>
          <w:rFonts w:ascii="Times New Roman" w:hAnsi="Times New Roman" w:cs="Times New Roman"/>
          <w:sz w:val="28"/>
          <w:szCs w:val="28"/>
          <w:lang w:val="ky-KG"/>
        </w:rPr>
        <w:t xml:space="preserve">24-пункт төмөнкүдөй мазмундагы 3-пунктча менен толукталсын: </w:t>
      </w:r>
      <w:r w:rsidR="00A217C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A217CA" w:rsidRPr="00B502CD">
        <w:rPr>
          <w:rFonts w:ascii="Times New Roman" w:hAnsi="Times New Roman" w:cs="Times New Roman"/>
          <w:sz w:val="28"/>
          <w:szCs w:val="28"/>
          <w:lang w:val="ky-KG"/>
        </w:rPr>
        <w:t>жарандардын чыгымдарын азайтуу максатында Программанын алкагында жарандар сатып алган кыймылсыз мүлккө укуктарды мамлекеттик каттоонун электрондук формасы киргизилет.</w:t>
      </w:r>
      <w:r w:rsidR="00A217CA"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p w14:paraId="02E5E6DC" w14:textId="282F8D84" w:rsidR="00D737AA" w:rsidRPr="00170DF7" w:rsidRDefault="00D737A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70DF7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170DF7" w:rsidRPr="00170DF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2021-жылдын 13-июлундагы № 75 “Менин үйүм 2021-2026” Кыргыз Республикасынын турак жай программасын бекитүү жөнүндө” токтомунун 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70DF7" w:rsidRPr="00170DF7">
        <w:rPr>
          <w:rFonts w:ascii="Times New Roman" w:hAnsi="Times New Roman" w:cs="Times New Roman"/>
          <w:sz w:val="28"/>
          <w:szCs w:val="28"/>
          <w:lang w:val="ky-KG"/>
        </w:rPr>
        <w:t>-тиркемесине төмөнкүдөй өзгөртүүлөр киргизилсин</w:t>
      </w:r>
      <w:r w:rsidRPr="00170DF7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7B1D7A4A" w14:textId="6EB1C0B4" w:rsidR="00D737AA" w:rsidRPr="00FA5D1C" w:rsidRDefault="00D737A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1) 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>4-глава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403A96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 xml:space="preserve">төмөнкү мазмундагы </w:t>
      </w:r>
      <w:r w:rsidR="00403A96" w:rsidRPr="00FA5D1C">
        <w:rPr>
          <w:rFonts w:ascii="Times New Roman" w:hAnsi="Times New Roman" w:cs="Times New Roman"/>
          <w:sz w:val="28"/>
          <w:szCs w:val="28"/>
        </w:rPr>
        <w:t>14-1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>-пункт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170DF7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</w:t>
      </w:r>
      <w:r w:rsidR="00403A96" w:rsidRPr="00FA5D1C">
        <w:rPr>
          <w:rFonts w:ascii="Times New Roman" w:hAnsi="Times New Roman" w:cs="Times New Roman"/>
          <w:sz w:val="28"/>
          <w:szCs w:val="28"/>
        </w:rPr>
        <w:t>:</w:t>
      </w:r>
    </w:p>
    <w:p w14:paraId="68F7E9E8" w14:textId="28F37DB2" w:rsidR="00403A96" w:rsidRPr="00170DF7" w:rsidRDefault="00170DF7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117"/>
        <w:gridCol w:w="1842"/>
        <w:gridCol w:w="1276"/>
        <w:gridCol w:w="1418"/>
        <w:gridCol w:w="1836"/>
      </w:tblGrid>
      <w:tr w:rsidR="004B184A" w:rsidRPr="00FA5D1C" w14:paraId="39DD14CD" w14:textId="77777777" w:rsidTr="004B184A">
        <w:tc>
          <w:tcPr>
            <w:tcW w:w="572" w:type="dxa"/>
          </w:tcPr>
          <w:p w14:paraId="331EC4D4" w14:textId="441CA4A1" w:rsidR="00403A96" w:rsidRPr="00FA5D1C" w:rsidRDefault="00403A96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1C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</w:p>
        </w:tc>
        <w:tc>
          <w:tcPr>
            <w:tcW w:w="2117" w:type="dxa"/>
          </w:tcPr>
          <w:p w14:paraId="3E71D1CE" w14:textId="60641D67" w:rsidR="00403A96" w:rsidRPr="00FA5D1C" w:rsidRDefault="00170DF7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DF7">
              <w:rPr>
                <w:rFonts w:ascii="Times New Roman" w:hAnsi="Times New Roman" w:cs="Times New Roman"/>
                <w:sz w:val="28"/>
                <w:szCs w:val="28"/>
              </w:rPr>
              <w:t xml:space="preserve">Кепилдик фонддордун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инструменттерин колдонуу</w:t>
            </w:r>
          </w:p>
        </w:tc>
        <w:tc>
          <w:tcPr>
            <w:tcW w:w="1842" w:type="dxa"/>
          </w:tcPr>
          <w:p w14:paraId="2F8AAF0B" w14:textId="4E5037A8" w:rsidR="00170DF7" w:rsidRPr="00170DF7" w:rsidRDefault="00170DF7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70DF7">
              <w:rPr>
                <w:rFonts w:ascii="Times New Roman" w:hAnsi="Times New Roman" w:cs="Times New Roman"/>
                <w:sz w:val="28"/>
                <w:szCs w:val="28"/>
              </w:rPr>
              <w:t>Кепилдик фонд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дордун</w:t>
            </w:r>
            <w:r w:rsidRPr="00170DF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инструменттери турак жайды каржылоодо жана турак жай курулушунда колдону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лду</w:t>
            </w:r>
            <w:r w:rsidRPr="00170D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МИКтин</w:t>
            </w:r>
            <w:r w:rsidRPr="00170DF7">
              <w:rPr>
                <w:rFonts w:ascii="Times New Roman" w:hAnsi="Times New Roman" w:cs="Times New Roman"/>
                <w:sz w:val="28"/>
                <w:szCs w:val="28"/>
              </w:rPr>
              <w:t xml:space="preserve"> өнөктөш банктарына портфелдик кепилдиктер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берилди.</w:t>
            </w:r>
          </w:p>
        </w:tc>
        <w:tc>
          <w:tcPr>
            <w:tcW w:w="1276" w:type="dxa"/>
          </w:tcPr>
          <w:p w14:paraId="7669FF5A" w14:textId="0CD5DFEA" w:rsidR="00403A96" w:rsidRPr="00FA5D1C" w:rsidRDefault="0049379F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1C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170D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6-жылдар</w:t>
            </w:r>
          </w:p>
        </w:tc>
        <w:tc>
          <w:tcPr>
            <w:tcW w:w="1418" w:type="dxa"/>
          </w:tcPr>
          <w:p w14:paraId="5B760F0A" w14:textId="5836CC14" w:rsidR="00403A96" w:rsidRPr="00C1274A" w:rsidRDefault="00170DF7" w:rsidP="006C385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4B184A" w:rsidRPr="00FA5D1C"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="0049379F" w:rsidRPr="00FA5D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27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макулдашуу боюнча</w:t>
            </w:r>
            <w:r w:rsidR="0049379F" w:rsidRPr="00FA5D1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127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49379F" w:rsidRPr="00FA5D1C">
              <w:rPr>
                <w:rFonts w:ascii="Times New Roman" w:hAnsi="Times New Roman" w:cs="Times New Roman"/>
                <w:sz w:val="28"/>
                <w:szCs w:val="28"/>
              </w:rPr>
              <w:t>ИК (</w:t>
            </w:r>
            <w:r w:rsidR="00C127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макулдашуу боюнча</w:t>
            </w:r>
            <w:r w:rsidR="0049379F" w:rsidRPr="00FA5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184A" w:rsidRPr="00FA5D1C">
              <w:rPr>
                <w:rFonts w:ascii="Times New Roman" w:hAnsi="Times New Roman" w:cs="Times New Roman"/>
                <w:sz w:val="28"/>
                <w:szCs w:val="28"/>
              </w:rPr>
              <w:t>, ЭК</w:t>
            </w:r>
            <w:r w:rsidR="00C127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</w:p>
        </w:tc>
        <w:tc>
          <w:tcPr>
            <w:tcW w:w="1836" w:type="dxa"/>
          </w:tcPr>
          <w:p w14:paraId="5B2BC979" w14:textId="73C5E6E7" w:rsidR="00403A96" w:rsidRPr="00C1274A" w:rsidRDefault="00C127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Кепилдик фо</w:t>
            </w:r>
            <w:r w:rsidR="00E648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ддордун каражаттары</w:t>
            </w:r>
          </w:p>
        </w:tc>
      </w:tr>
    </w:tbl>
    <w:p w14:paraId="459CFA7C" w14:textId="77B48400" w:rsidR="00403A96" w:rsidRPr="00FA5D1C" w:rsidRDefault="00C1274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B184A" w:rsidRPr="00FA5D1C">
        <w:rPr>
          <w:rFonts w:ascii="Times New Roman" w:hAnsi="Times New Roman" w:cs="Times New Roman"/>
          <w:sz w:val="28"/>
          <w:szCs w:val="28"/>
        </w:rPr>
        <w:t>;</w:t>
      </w:r>
    </w:p>
    <w:p w14:paraId="79D1F190" w14:textId="343ABB8B" w:rsidR="004B184A" w:rsidRPr="00FA5D1C" w:rsidRDefault="004B184A" w:rsidP="00C1274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 xml:space="preserve">2) 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6-главасы</w:t>
      </w:r>
      <w:r w:rsidR="00C1274A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төмөнкү мазмундагы 20-пункту менен толукталсын</w:t>
      </w:r>
      <w:r w:rsidR="00C1274A" w:rsidRPr="00FA5D1C">
        <w:rPr>
          <w:rFonts w:ascii="Times New Roman" w:hAnsi="Times New Roman" w:cs="Times New Roman"/>
          <w:sz w:val="28"/>
          <w:szCs w:val="28"/>
        </w:rPr>
        <w:t>:</w:t>
      </w:r>
    </w:p>
    <w:p w14:paraId="492F33C2" w14:textId="0241E52A" w:rsidR="004B184A" w:rsidRPr="00C1274A" w:rsidRDefault="00C1274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“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117"/>
        <w:gridCol w:w="1842"/>
        <w:gridCol w:w="1276"/>
        <w:gridCol w:w="1418"/>
        <w:gridCol w:w="1836"/>
      </w:tblGrid>
      <w:tr w:rsidR="004B184A" w:rsidRPr="00FA5D1C" w14:paraId="440A49C0" w14:textId="77777777" w:rsidTr="004B5992">
        <w:tc>
          <w:tcPr>
            <w:tcW w:w="572" w:type="dxa"/>
          </w:tcPr>
          <w:p w14:paraId="5E048539" w14:textId="7033F09C" w:rsidR="004B184A" w:rsidRPr="00FA5D1C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7" w:type="dxa"/>
            <w:vAlign w:val="center"/>
          </w:tcPr>
          <w:p w14:paraId="6E77BF49" w14:textId="6D5A1FAA" w:rsidR="004B184A" w:rsidRPr="00FA5D1C" w:rsidRDefault="00C127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74A">
              <w:rPr>
                <w:rFonts w:ascii="Times New Roman" w:hAnsi="Times New Roman"/>
                <w:sz w:val="28"/>
                <w:szCs w:val="28"/>
              </w:rPr>
              <w:t>Турак жай программасын ишке ашыруунун алкагында жарандар тарабынан сатып алынган кыймылсыз мүлккө укуктарды мамлекеттик каттоонун электрондук формасын киргизүү</w:t>
            </w:r>
          </w:p>
        </w:tc>
        <w:tc>
          <w:tcPr>
            <w:tcW w:w="1842" w:type="dxa"/>
            <w:vAlign w:val="center"/>
          </w:tcPr>
          <w:p w14:paraId="02F23CB9" w14:textId="342DB992" w:rsidR="00C1274A" w:rsidRPr="00FA5D1C" w:rsidRDefault="00C127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74A">
              <w:rPr>
                <w:rFonts w:ascii="Times New Roman" w:hAnsi="Times New Roman" w:cs="Times New Roman"/>
                <w:sz w:val="28"/>
                <w:szCs w:val="28"/>
              </w:rPr>
              <w:t>Кыймылсыз мүлккө укуктарды мамлекеттик каттоо процесстерин санариптештирүү</w:t>
            </w:r>
          </w:p>
        </w:tc>
        <w:tc>
          <w:tcPr>
            <w:tcW w:w="1276" w:type="dxa"/>
            <w:vAlign w:val="center"/>
          </w:tcPr>
          <w:p w14:paraId="22103996" w14:textId="7295B1F5" w:rsidR="004B184A" w:rsidRPr="00FA5D1C" w:rsidRDefault="004B184A" w:rsidP="00C127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 w:rsidR="00ED0AEA" w:rsidRPr="00FA5D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2-2023</w:t>
            </w:r>
            <w:r w:rsidR="00C1274A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-жылдар</w:t>
            </w:r>
          </w:p>
        </w:tc>
        <w:tc>
          <w:tcPr>
            <w:tcW w:w="1418" w:type="dxa"/>
            <w:vAlign w:val="center"/>
          </w:tcPr>
          <w:p w14:paraId="637DE1B2" w14:textId="112F6C67" w:rsidR="004B184A" w:rsidRPr="00FA5D1C" w:rsidRDefault="00C127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СӨМ</w:t>
            </w:r>
            <w:r w:rsidR="004B184A" w:rsidRPr="00FA5D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ЮМ</w:t>
            </w:r>
            <w:r w:rsidR="004B184A" w:rsidRPr="00FA5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6F484EF7" w14:textId="59BC1381" w:rsidR="004B184A" w:rsidRPr="00FA5D1C" w:rsidRDefault="004B184A" w:rsidP="004B184A">
            <w:pPr>
              <w:pStyle w:val="tkTekst"/>
              <w:tabs>
                <w:tab w:val="left" w:pos="426"/>
                <w:tab w:val="left" w:pos="567"/>
                <w:tab w:val="left" w:pos="709"/>
                <w:tab w:val="left" w:pos="993"/>
                <w:tab w:val="left" w:pos="1134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92B52" w14:textId="1D7F663A" w:rsidR="004B184A" w:rsidRPr="003C6EF2" w:rsidRDefault="003C6EF2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”;</w:t>
      </w:r>
    </w:p>
    <w:p w14:paraId="73C664CD" w14:textId="4D98F944" w:rsidR="00F6029B" w:rsidRPr="00C1274A" w:rsidRDefault="00F6029B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3C6EF2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C1274A" w:rsidRPr="00C1274A">
        <w:rPr>
          <w:rFonts w:ascii="Times New Roman" w:hAnsi="Times New Roman" w:cs="Times New Roman"/>
          <w:sz w:val="28"/>
          <w:szCs w:val="28"/>
          <w:lang w:val="ky-KG"/>
        </w:rPr>
        <w:t>Кыскартуулар төмөнкүдөй мазмун менен толукталсын</w:t>
      </w:r>
      <w:r w:rsidRPr="00C1274A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3C6E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“</w:t>
      </w:r>
    </w:p>
    <w:p w14:paraId="71D45BE3" w14:textId="5EA3BF04" w:rsidR="00F6029B" w:rsidRPr="00FA5D1C" w:rsidRDefault="00C1274A" w:rsidP="006C385A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F6029B" w:rsidRPr="00FA5D1C">
        <w:rPr>
          <w:rFonts w:ascii="Times New Roman" w:hAnsi="Times New Roman" w:cs="Times New Roman"/>
          <w:sz w:val="28"/>
          <w:szCs w:val="28"/>
        </w:rPr>
        <w:t>Ф 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“Кепилдик фонд” ачык акционердик коом;</w:t>
      </w:r>
    </w:p>
    <w:p w14:paraId="08A3C090" w14:textId="4E85B838" w:rsidR="00F6029B" w:rsidRPr="00FA5D1C" w:rsidRDefault="00F6029B" w:rsidP="00F6029B">
      <w:pPr>
        <w:pStyle w:val="tkTekst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Ю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FA5D1C">
        <w:rPr>
          <w:rFonts w:ascii="Times New Roman" w:hAnsi="Times New Roman" w:cs="Times New Roman"/>
          <w:sz w:val="28"/>
          <w:szCs w:val="28"/>
        </w:rPr>
        <w:t xml:space="preserve"> – 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Юстиция министрлиги”</w:t>
      </w:r>
      <w:r w:rsidRPr="00FA5D1C">
        <w:rPr>
          <w:rFonts w:ascii="Times New Roman" w:hAnsi="Times New Roman" w:cs="Times New Roman"/>
          <w:sz w:val="28"/>
          <w:szCs w:val="28"/>
        </w:rPr>
        <w:t>.</w:t>
      </w:r>
    </w:p>
    <w:p w14:paraId="3FA9F512" w14:textId="3B8178C4" w:rsidR="00FB61C0" w:rsidRPr="00FA5D1C" w:rsidRDefault="00F6029B" w:rsidP="00FB61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4</w:t>
      </w:r>
      <w:r w:rsidR="00D622AB" w:rsidRPr="00FA5D1C">
        <w:rPr>
          <w:rFonts w:ascii="Times New Roman" w:hAnsi="Times New Roman" w:cs="Times New Roman"/>
          <w:sz w:val="28"/>
          <w:szCs w:val="28"/>
        </w:rPr>
        <w:t xml:space="preserve">. </w:t>
      </w:r>
      <w:r w:rsidR="00C1274A" w:rsidRPr="00C1274A">
        <w:rPr>
          <w:rFonts w:ascii="Times New Roman" w:hAnsi="Times New Roman" w:cs="Times New Roman"/>
          <w:sz w:val="28"/>
          <w:szCs w:val="28"/>
        </w:rPr>
        <w:t xml:space="preserve">Кыргыз Республикасынын Министрлер Кабинетинин 2021-жылдын 13-июлундагы № 75 “Менин үйүм 2021-2026” Кыргыз Республикасынын турак жай программасын бекитүү жөнүндө” токтомунун </w:t>
      </w:r>
      <w:r w:rsidR="00C1274A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1274A" w:rsidRPr="00C1274A">
        <w:rPr>
          <w:rFonts w:ascii="Times New Roman" w:hAnsi="Times New Roman" w:cs="Times New Roman"/>
          <w:sz w:val="28"/>
          <w:szCs w:val="28"/>
        </w:rPr>
        <w:t>-тиркемесине төмөнкүдөй өзгөртүүлөр киргизилсин</w:t>
      </w:r>
      <w:r w:rsidR="00FB61C0" w:rsidRPr="00FA5D1C">
        <w:rPr>
          <w:rFonts w:ascii="Times New Roman" w:hAnsi="Times New Roman" w:cs="Times New Roman"/>
          <w:sz w:val="28"/>
          <w:szCs w:val="28"/>
        </w:rPr>
        <w:t>:</w:t>
      </w:r>
    </w:p>
    <w:p w14:paraId="79F0096D" w14:textId="5B80C773" w:rsidR="00C1274A" w:rsidRPr="003F743F" w:rsidRDefault="006900B4" w:rsidP="00FB61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A5D1C">
        <w:rPr>
          <w:rFonts w:ascii="Times New Roman" w:hAnsi="Times New Roman" w:cs="Times New Roman"/>
          <w:sz w:val="28"/>
          <w:szCs w:val="28"/>
        </w:rPr>
        <w:t>1)</w:t>
      </w:r>
      <w:r w:rsidR="00416185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C1274A" w:rsidRPr="00C1274A">
        <w:rPr>
          <w:rFonts w:ascii="Times New Roman" w:hAnsi="Times New Roman" w:cs="Times New Roman"/>
          <w:sz w:val="28"/>
          <w:szCs w:val="28"/>
        </w:rPr>
        <w:t xml:space="preserve">2-главанын 3-пунктунун 1-пунктчасындагы 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C1274A" w:rsidRPr="00C1274A">
        <w:rPr>
          <w:rFonts w:ascii="Times New Roman" w:hAnsi="Times New Roman" w:cs="Times New Roman"/>
          <w:sz w:val="28"/>
          <w:szCs w:val="28"/>
        </w:rPr>
        <w:t>65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C1274A" w:rsidRPr="00C1274A">
        <w:rPr>
          <w:rFonts w:ascii="Times New Roman" w:hAnsi="Times New Roman" w:cs="Times New Roman"/>
          <w:sz w:val="28"/>
          <w:szCs w:val="28"/>
        </w:rPr>
        <w:t xml:space="preserve"> деген сан 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C1274A" w:rsidRPr="00C1274A">
        <w:rPr>
          <w:rFonts w:ascii="Times New Roman" w:hAnsi="Times New Roman" w:cs="Times New Roman"/>
          <w:sz w:val="28"/>
          <w:szCs w:val="28"/>
        </w:rPr>
        <w:t>70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C1274A" w:rsidRPr="00C1274A">
        <w:rPr>
          <w:rFonts w:ascii="Times New Roman" w:hAnsi="Times New Roman" w:cs="Times New Roman"/>
          <w:sz w:val="28"/>
          <w:szCs w:val="28"/>
        </w:rPr>
        <w:t xml:space="preserve"> деген санга алмаштырылсын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2D595B9" w14:textId="4A4A43FD" w:rsidR="003F743F" w:rsidRDefault="00FA5D1C" w:rsidP="006D0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2)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F743F" w:rsidRPr="00C1274A">
        <w:rPr>
          <w:rFonts w:ascii="Times New Roman" w:hAnsi="Times New Roman" w:cs="Times New Roman"/>
          <w:sz w:val="28"/>
          <w:szCs w:val="28"/>
        </w:rPr>
        <w:t xml:space="preserve">2-главанын 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F743F" w:rsidRPr="00C1274A">
        <w:rPr>
          <w:rFonts w:ascii="Times New Roman" w:hAnsi="Times New Roman" w:cs="Times New Roman"/>
          <w:sz w:val="28"/>
          <w:szCs w:val="28"/>
        </w:rPr>
        <w:t>-пункту</w:t>
      </w:r>
      <w:r w:rsidR="003F743F">
        <w:rPr>
          <w:rFonts w:ascii="Times New Roman" w:hAnsi="Times New Roman" w:cs="Times New Roman"/>
          <w:sz w:val="28"/>
          <w:szCs w:val="28"/>
          <w:lang w:val="ky-KG"/>
        </w:rPr>
        <w:t xml:space="preserve"> төмөндөгүдөй редакцияда баяндалсын: </w:t>
      </w:r>
      <w:r w:rsidR="001B235A" w:rsidRPr="00FA5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BAEDE" w14:textId="3FE46FB1" w:rsidR="003F743F" w:rsidRPr="003F743F" w:rsidRDefault="003F743F" w:rsidP="006D0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43F">
        <w:rPr>
          <w:rFonts w:ascii="Times New Roman" w:hAnsi="Times New Roman" w:cs="Times New Roman"/>
          <w:sz w:val="28"/>
          <w:szCs w:val="28"/>
        </w:rPr>
        <w:t xml:space="preserve">“Акыркы 3 (үч) жылдын ичинде Кыргыз Республикасынын бардык аймагында турак жайга байланыштуу кандайдыр бир жарандык-укуктук бүтүмдөрдүн жоктугу болгон шартта, Кыргыз Республикасынын жарандарында, күйөөсүндө (аялында) жана жашы жете элек балдарында турак жайда 20 чарчы м. көп эмес үлүшү болгон учурда Программага катышууга жол берилет. </w:t>
      </w:r>
      <w:r w:rsidR="003C6EF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3F743F">
        <w:rPr>
          <w:rFonts w:ascii="Times New Roman" w:hAnsi="Times New Roman" w:cs="Times New Roman"/>
          <w:sz w:val="28"/>
          <w:szCs w:val="28"/>
        </w:rPr>
        <w:t>Жеңилдетилген ипотека</w:t>
      </w:r>
      <w:r w:rsidR="003C6EF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3F743F">
        <w:rPr>
          <w:rFonts w:ascii="Times New Roman" w:hAnsi="Times New Roman" w:cs="Times New Roman"/>
          <w:sz w:val="28"/>
          <w:szCs w:val="28"/>
        </w:rPr>
        <w:t xml:space="preserve"> багытынын алкагында калктын социалдык жактан корголбогон категорияларына ушул Тартиптин тандоо критерийлерин эске албаганда, МИК менчик турак жай фондунан жеңилдетилген шарттарда турак жай берет.”;</w:t>
      </w:r>
    </w:p>
    <w:p w14:paraId="45EB852C" w14:textId="26B622EC" w:rsidR="004A2086" w:rsidRDefault="00FA5D1C" w:rsidP="006D0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D1C">
        <w:rPr>
          <w:rFonts w:ascii="Times New Roman" w:hAnsi="Times New Roman" w:cs="Times New Roman"/>
          <w:sz w:val="28"/>
          <w:szCs w:val="28"/>
        </w:rPr>
        <w:t>3)</w:t>
      </w:r>
      <w:r w:rsidR="004A2086">
        <w:rPr>
          <w:rFonts w:ascii="Times New Roman" w:hAnsi="Times New Roman" w:cs="Times New Roman"/>
          <w:sz w:val="28"/>
          <w:szCs w:val="28"/>
          <w:lang w:val="ky-KG"/>
        </w:rPr>
        <w:t xml:space="preserve"> 2-главанын 7-пунктунун 2-абзацында “ипотекалык кредиттер” деген сөздөрдөн кийин “жана ижаралык турак жай”</w:t>
      </w:r>
      <w:r w:rsidR="003C6EF2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толукталсын;</w:t>
      </w:r>
      <w:r w:rsidR="006D0893" w:rsidRPr="00FA5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0D6B2" w14:textId="0BEA5755" w:rsidR="004A2086" w:rsidRPr="004A2086" w:rsidRDefault="00FA5D1C" w:rsidP="001B235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A5D1C">
        <w:rPr>
          <w:rFonts w:ascii="Times New Roman" w:hAnsi="Times New Roman" w:cs="Times New Roman"/>
          <w:sz w:val="28"/>
          <w:szCs w:val="28"/>
        </w:rPr>
        <w:t>4)</w:t>
      </w:r>
      <w:r w:rsidR="00416185" w:rsidRPr="00FA5D1C">
        <w:rPr>
          <w:rFonts w:ascii="Times New Roman" w:hAnsi="Times New Roman" w:cs="Times New Roman"/>
          <w:sz w:val="28"/>
          <w:szCs w:val="28"/>
        </w:rPr>
        <w:t xml:space="preserve"> </w:t>
      </w:r>
      <w:r w:rsidR="004A2086">
        <w:rPr>
          <w:rFonts w:ascii="Times New Roman" w:hAnsi="Times New Roman" w:cs="Times New Roman"/>
          <w:sz w:val="28"/>
          <w:szCs w:val="28"/>
          <w:lang w:val="ky-KG"/>
        </w:rPr>
        <w:t>4-главанын 7-пунктунун “</w:t>
      </w:r>
      <w:r w:rsidR="004A2086" w:rsidRPr="004A2086">
        <w:rPr>
          <w:rFonts w:ascii="Times New Roman" w:hAnsi="Times New Roman" w:cs="Times New Roman"/>
          <w:sz w:val="28"/>
          <w:szCs w:val="28"/>
          <w:lang w:val="ky-KG"/>
        </w:rPr>
        <w:t>Эскертүү” бөлүгү төмөндөгүдөй редакцияда баяндалсын</w:t>
      </w:r>
      <w:r w:rsidR="004A2086">
        <w:rPr>
          <w:rFonts w:ascii="Times New Roman" w:hAnsi="Times New Roman" w:cs="Times New Roman"/>
          <w:sz w:val="28"/>
          <w:szCs w:val="28"/>
          <w:lang w:val="ky-KG"/>
        </w:rPr>
        <w:t>: “Кыргыз Республикасынын “</w:t>
      </w:r>
      <w:r w:rsidR="004A2086" w:rsidRPr="004A2086">
        <w:rPr>
          <w:rFonts w:ascii="Times New Roman" w:hAnsi="Times New Roman" w:cs="Times New Roman"/>
          <w:sz w:val="28"/>
          <w:szCs w:val="28"/>
          <w:lang w:val="ky-KG"/>
        </w:rPr>
        <w:t>Мамлекеттик ипотекалык турак жай насыясы жөнүндө” 2017-жылдын 4-майындагы № 73</w:t>
      </w:r>
      <w:r w:rsidR="00E648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2086">
        <w:rPr>
          <w:rFonts w:ascii="Times New Roman" w:hAnsi="Times New Roman" w:cs="Times New Roman"/>
          <w:sz w:val="28"/>
          <w:szCs w:val="28"/>
          <w:lang w:val="ky-KG"/>
        </w:rPr>
        <w:t>Мыйзамына ылайык бекитилет</w:t>
      </w:r>
      <w:r w:rsidR="00E6480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A208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3853A5E" w14:textId="187373D4" w:rsidR="00545027" w:rsidRPr="00682688" w:rsidRDefault="00F6029B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682688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9A2D9D" w:rsidRPr="0068268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>Төмөнкүлөр күчүн жоготту деп таанылсын</w:t>
      </w:r>
      <w:r w:rsidR="00545027" w:rsidRPr="0068268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288810D3" w14:textId="51016135" w:rsidR="00682688" w:rsidRPr="00682688" w:rsidRDefault="00545027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682688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1) 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24-августундагы № 534 </w:t>
      </w:r>
      <w:r w:rsidR="0068268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>Мамлекеттик ипотекалык насыянын базалык пайыздык ставкасына колдонулуучу коэффициенттерди эсептөөнүн тартибин бекитүү жөнүндө</w:t>
      </w:r>
      <w:r w:rsidR="0068268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 xml:space="preserve"> токтому</w:t>
      </w:r>
      <w:r w:rsidR="0068268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C618F0F" w14:textId="13A8C419" w:rsidR="00682688" w:rsidRPr="00682688" w:rsidRDefault="00545027" w:rsidP="00A52AA5">
      <w:pPr>
        <w:pStyle w:val="tkTekst"/>
        <w:spacing w:after="0" w:line="240" w:lineRule="auto"/>
        <w:ind w:firstLine="709"/>
        <w:rPr>
          <w:sz w:val="28"/>
          <w:lang w:val="ky-KG"/>
        </w:rPr>
      </w:pPr>
      <w:r w:rsidRPr="00682688">
        <w:rPr>
          <w:rFonts w:ascii="Times New Roman" w:hAnsi="Times New Roman" w:cs="Times New Roman"/>
          <w:sz w:val="28"/>
          <w:lang w:val="ky-KG"/>
        </w:rPr>
        <w:t>2)</w:t>
      </w:r>
      <w:r w:rsidR="00682688" w:rsidRPr="00682688">
        <w:rPr>
          <w:lang w:val="ky-KG"/>
        </w:rPr>
        <w:t xml:space="preserve"> 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2019-жылдын 25-февралындагы № 93 “Кыргыз Республикасынын Өкмөтүнүн 2017-жылдын 24-августундагы № 534 </w:t>
      </w:r>
      <w:r w:rsidR="0068268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>Мамлекеттик ипотекалык насыянын базалык пайыздык ставкасына колдонулуучу коэффициенттерди эсептөөнүн тартибин бекитүү жөнүндө</w:t>
      </w:r>
      <w:r w:rsidR="0068268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 xml:space="preserve"> токтому</w:t>
      </w:r>
      <w:r w:rsidR="00682688">
        <w:rPr>
          <w:rFonts w:ascii="Times New Roman" w:hAnsi="Times New Roman" w:cs="Times New Roman"/>
          <w:sz w:val="28"/>
          <w:szCs w:val="28"/>
          <w:lang w:val="ky-KG"/>
        </w:rPr>
        <w:t xml:space="preserve">на </w:t>
      </w:r>
      <w:r w:rsidR="00682688" w:rsidRPr="00682688">
        <w:rPr>
          <w:rFonts w:ascii="Times New Roman" w:hAnsi="Times New Roman" w:cs="Times New Roman"/>
          <w:sz w:val="28"/>
          <w:szCs w:val="28"/>
          <w:lang w:val="ky-KG"/>
        </w:rPr>
        <w:t>өзгөртүүлөрдү киргизүү тууралуу” токтому.</w:t>
      </w:r>
    </w:p>
    <w:p w14:paraId="5826D9CD" w14:textId="34666ECF" w:rsidR="00AE41CC" w:rsidRPr="00AE41CC" w:rsidRDefault="00AB48A9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E41C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A01E2" w:rsidRPr="00AE41C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82688" w:rsidRPr="00AE41C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Кабинетине караштуу Кыргыз Республикасынын Социалдык фонду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2021-жылдын 13-июлундагы № 75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18776A">
        <w:rPr>
          <w:rFonts w:ascii="Times New Roman" w:hAnsi="Times New Roman" w:cs="Times New Roman"/>
          <w:sz w:val="28"/>
          <w:szCs w:val="28"/>
          <w:lang w:val="ky-KG"/>
        </w:rPr>
        <w:t>менен бекитилген “Менин үйүм 2021-2026” Кыргыз Республикасынын турак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18776A">
        <w:rPr>
          <w:rFonts w:ascii="Times New Roman" w:hAnsi="Times New Roman" w:cs="Times New Roman"/>
          <w:sz w:val="28"/>
          <w:szCs w:val="28"/>
          <w:lang w:val="ky-KG"/>
        </w:rPr>
        <w:t>жай программасынын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 мөөнөтүндө </w:t>
      </w:r>
      <w:r w:rsidR="00AE41CC" w:rsidRPr="007228FF">
        <w:rPr>
          <w:rFonts w:ascii="Times New Roman" w:hAnsi="Times New Roman" w:cs="Times New Roman"/>
          <w:sz w:val="28"/>
          <w:szCs w:val="28"/>
          <w:lang w:val="ky-KG"/>
        </w:rPr>
        <w:t>ипотекалык турак жайды насыялоо чөйрөсүндөгү ыйгарым укуктуу орган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ы тарабынан чыгарылган ипотекалык баалуу кагаздарды </w:t>
      </w:r>
      <w:bookmarkStart w:id="1" w:name="_GoBack"/>
      <w:bookmarkEnd w:id="1"/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приоритеттик түрдө сатып алсын. </w:t>
      </w:r>
    </w:p>
    <w:p w14:paraId="08E6FCC1" w14:textId="5EA9D4D1" w:rsidR="00AE41CC" w:rsidRPr="00AE41CC" w:rsidRDefault="00AB48A9" w:rsidP="00A52A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E41C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A01E2" w:rsidRPr="00AE41C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Бул токтом Кыргыз Республикасынын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>2021-жылдын 13-июлундагы № 75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18776A">
        <w:rPr>
          <w:rFonts w:ascii="Times New Roman" w:hAnsi="Times New Roman" w:cs="Times New Roman"/>
          <w:sz w:val="28"/>
          <w:szCs w:val="28"/>
          <w:lang w:val="ky-KG"/>
        </w:rPr>
        <w:t>менен бекитилген “Менин үйүм 2021-2026” Кыргыз Республикасынын турак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41CC" w:rsidRPr="0018776A">
        <w:rPr>
          <w:rFonts w:ascii="Times New Roman" w:hAnsi="Times New Roman" w:cs="Times New Roman"/>
          <w:sz w:val="28"/>
          <w:szCs w:val="28"/>
          <w:lang w:val="ky-KG"/>
        </w:rPr>
        <w:t>жай программасынын</w:t>
      </w:r>
      <w:r w:rsidR="00AE41CC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 мөөнөтүндө</w:t>
      </w:r>
      <w:r w:rsidR="00AE41CC" w:rsidRPr="00AE41CC">
        <w:rPr>
          <w:rFonts w:ascii="Times New Roman" w:hAnsi="Times New Roman" w:cs="Times New Roman"/>
          <w:sz w:val="28"/>
          <w:szCs w:val="28"/>
          <w:lang w:val="ky-KG"/>
        </w:rPr>
        <w:t xml:space="preserve"> колдонулат.</w:t>
      </w:r>
    </w:p>
    <w:p w14:paraId="53B2C79C" w14:textId="0E66A4EB" w:rsidR="00942FC7" w:rsidRPr="00AE41CC" w:rsidRDefault="00AB48A9" w:rsidP="00942FC7">
      <w:pPr>
        <w:pStyle w:val="tkTekst"/>
        <w:spacing w:after="0"/>
        <w:ind w:firstLine="709"/>
        <w:rPr>
          <w:rFonts w:ascii="Times New Roman" w:hAnsi="Times New Roman"/>
          <w:sz w:val="28"/>
          <w:szCs w:val="28"/>
          <w:lang w:val="ky-KG"/>
        </w:rPr>
      </w:pPr>
      <w:r w:rsidRPr="00AE41CC">
        <w:rPr>
          <w:rFonts w:ascii="Times New Roman" w:hAnsi="Times New Roman"/>
          <w:sz w:val="28"/>
          <w:szCs w:val="28"/>
          <w:lang w:val="ky-KG"/>
        </w:rPr>
        <w:t>8</w:t>
      </w:r>
      <w:r w:rsidR="00003E95" w:rsidRPr="00AE41CC">
        <w:rPr>
          <w:rFonts w:ascii="Times New Roman" w:hAnsi="Times New Roman"/>
          <w:sz w:val="28"/>
          <w:szCs w:val="28"/>
          <w:lang w:val="ky-KG"/>
        </w:rPr>
        <w:t>.</w:t>
      </w:r>
      <w:r w:rsidR="003F5BB6" w:rsidRPr="00AE41C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E41CC" w:rsidRPr="00AE41CC">
        <w:rPr>
          <w:rFonts w:ascii="Times New Roman" w:hAnsi="Times New Roman"/>
          <w:sz w:val="28"/>
          <w:szCs w:val="28"/>
          <w:lang w:val="ky-KG"/>
        </w:rPr>
        <w:t xml:space="preserve">Ушул </w:t>
      </w:r>
      <w:r w:rsidR="00AE41CC">
        <w:rPr>
          <w:rFonts w:ascii="Times New Roman" w:hAnsi="Times New Roman"/>
          <w:sz w:val="28"/>
          <w:szCs w:val="28"/>
          <w:lang w:val="ky-KG"/>
        </w:rPr>
        <w:t>токтомдун</w:t>
      </w:r>
      <w:r w:rsidR="00AE41CC" w:rsidRPr="00AE41CC">
        <w:rPr>
          <w:rFonts w:ascii="Times New Roman" w:hAnsi="Times New Roman"/>
          <w:sz w:val="28"/>
          <w:szCs w:val="28"/>
          <w:lang w:val="ky-KG"/>
        </w:rPr>
        <w:t xml:space="preserve"> аткарылышын контролдоо Кыргыз Республикасынын Президентинин администрциясынын Президенттин жана Министрлер Кабинетинин чечимдерин аткарууну контролдоо башкармалыгына жүктөлсүн</w:t>
      </w:r>
      <w:r w:rsidR="00942FC7" w:rsidRPr="00AE41CC">
        <w:rPr>
          <w:rFonts w:ascii="Times New Roman" w:hAnsi="Times New Roman"/>
          <w:sz w:val="28"/>
          <w:szCs w:val="28"/>
          <w:lang w:val="ky-KG"/>
        </w:rPr>
        <w:t>.</w:t>
      </w:r>
    </w:p>
    <w:p w14:paraId="75621B55" w14:textId="636A9F7E" w:rsidR="00003E95" w:rsidRPr="00E64801" w:rsidRDefault="00AB48A9" w:rsidP="00942FC7">
      <w:pPr>
        <w:pStyle w:val="tkTekst"/>
        <w:spacing w:after="0"/>
        <w:ind w:firstLine="709"/>
        <w:rPr>
          <w:rFonts w:ascii="Times New Roman" w:hAnsi="Times New Roman"/>
          <w:sz w:val="28"/>
          <w:szCs w:val="28"/>
          <w:lang w:val="ky-KG"/>
        </w:rPr>
      </w:pPr>
      <w:r w:rsidRPr="00E64801">
        <w:rPr>
          <w:rFonts w:ascii="Times New Roman" w:hAnsi="Times New Roman"/>
          <w:sz w:val="28"/>
          <w:szCs w:val="28"/>
          <w:lang w:val="ky-KG"/>
        </w:rPr>
        <w:t>9</w:t>
      </w:r>
      <w:r w:rsidR="00942FC7" w:rsidRPr="00E64801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AE41CC" w:rsidRPr="00E64801">
        <w:rPr>
          <w:rFonts w:ascii="Times New Roman" w:hAnsi="Times New Roman"/>
          <w:sz w:val="28"/>
          <w:szCs w:val="28"/>
          <w:lang w:val="ky-KG"/>
        </w:rPr>
        <w:t>Ушул токтом расмий жарыяланган күндөн тартып он күн өткөндөн кийин күчүнө кирет</w:t>
      </w:r>
      <w:r w:rsidR="00942FC7" w:rsidRPr="00E64801">
        <w:rPr>
          <w:rFonts w:ascii="Times New Roman" w:hAnsi="Times New Roman"/>
          <w:sz w:val="28"/>
          <w:szCs w:val="28"/>
          <w:lang w:val="ky-KG"/>
        </w:rPr>
        <w:t>.</w:t>
      </w:r>
    </w:p>
    <w:p w14:paraId="08A91B54" w14:textId="77777777" w:rsidR="00251AC1" w:rsidRPr="00E64801" w:rsidRDefault="00251AC1" w:rsidP="00251AC1">
      <w:pPr>
        <w:pStyle w:val="tkTekst"/>
        <w:tabs>
          <w:tab w:val="left" w:pos="993"/>
        </w:tabs>
        <w:spacing w:after="0" w:line="240" w:lineRule="auto"/>
        <w:ind w:right="449" w:firstLine="709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</w:pPr>
    </w:p>
    <w:p w14:paraId="7FB6D0E4" w14:textId="77777777" w:rsidR="00251AC1" w:rsidRPr="00E64801" w:rsidRDefault="00251AC1" w:rsidP="00251AC1">
      <w:pPr>
        <w:pStyle w:val="tkTekst"/>
        <w:tabs>
          <w:tab w:val="left" w:pos="993"/>
        </w:tabs>
        <w:spacing w:after="0" w:line="240" w:lineRule="auto"/>
        <w:ind w:right="449" w:firstLine="709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</w:pPr>
    </w:p>
    <w:p w14:paraId="0E5C3096" w14:textId="7862FD62" w:rsidR="00E96C2D" w:rsidRPr="009F0BB6" w:rsidRDefault="00682688" w:rsidP="009F0BB6">
      <w:pPr>
        <w:pStyle w:val="tkTekst"/>
        <w:tabs>
          <w:tab w:val="left" w:pos="993"/>
        </w:tabs>
        <w:spacing w:after="0" w:line="240" w:lineRule="auto"/>
        <w:ind w:right="449" w:firstLine="709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Төрага</w:t>
      </w:r>
      <w:r w:rsidR="00251AC1" w:rsidRPr="00DA04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F0BB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 xml:space="preserve">           </w:t>
      </w:r>
      <w:r w:rsidR="00FB2CE4">
        <w:rPr>
          <w:rFonts w:ascii="Times New Roman" w:hAnsi="Times New Roman"/>
          <w:b/>
          <w:bCs/>
          <w:color w:val="000000"/>
          <w:sz w:val="28"/>
          <w:szCs w:val="28"/>
        </w:rPr>
        <w:t>А.У. Жапаров</w:t>
      </w:r>
    </w:p>
    <w:sectPr w:rsidR="00E96C2D" w:rsidRPr="009F0BB6" w:rsidSect="003625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B932" w14:textId="77777777" w:rsidR="00C84FE0" w:rsidRDefault="00C84FE0" w:rsidP="00031ED2">
      <w:pPr>
        <w:spacing w:after="0" w:line="240" w:lineRule="auto"/>
      </w:pPr>
      <w:r>
        <w:separator/>
      </w:r>
    </w:p>
  </w:endnote>
  <w:endnote w:type="continuationSeparator" w:id="0">
    <w:p w14:paraId="5EE85241" w14:textId="77777777" w:rsidR="00C84FE0" w:rsidRDefault="00C84FE0" w:rsidP="0003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CEE4" w14:textId="77777777" w:rsidR="00C84FE0" w:rsidRDefault="00C84FE0" w:rsidP="00031ED2">
      <w:pPr>
        <w:spacing w:after="0" w:line="240" w:lineRule="auto"/>
      </w:pPr>
      <w:r>
        <w:separator/>
      </w:r>
    </w:p>
  </w:footnote>
  <w:footnote w:type="continuationSeparator" w:id="0">
    <w:p w14:paraId="5D69B544" w14:textId="77777777" w:rsidR="00C84FE0" w:rsidRDefault="00C84FE0" w:rsidP="0003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20A"/>
    <w:multiLevelType w:val="hybridMultilevel"/>
    <w:tmpl w:val="4D449F1C"/>
    <w:lvl w:ilvl="0" w:tplc="9904984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62171"/>
    <w:multiLevelType w:val="hybridMultilevel"/>
    <w:tmpl w:val="DFE62FA4"/>
    <w:lvl w:ilvl="0" w:tplc="04C42514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7E"/>
    <w:rsid w:val="000030CC"/>
    <w:rsid w:val="00003E95"/>
    <w:rsid w:val="000135E7"/>
    <w:rsid w:val="00022F27"/>
    <w:rsid w:val="00031ED2"/>
    <w:rsid w:val="00046A29"/>
    <w:rsid w:val="00062F4D"/>
    <w:rsid w:val="00075080"/>
    <w:rsid w:val="000A3981"/>
    <w:rsid w:val="000B24D7"/>
    <w:rsid w:val="000E5C65"/>
    <w:rsid w:val="00101418"/>
    <w:rsid w:val="001030B9"/>
    <w:rsid w:val="00106444"/>
    <w:rsid w:val="00124210"/>
    <w:rsid w:val="00145A2F"/>
    <w:rsid w:val="00157E8D"/>
    <w:rsid w:val="00166E0D"/>
    <w:rsid w:val="00170DF7"/>
    <w:rsid w:val="00176DEA"/>
    <w:rsid w:val="0018776A"/>
    <w:rsid w:val="00187F9C"/>
    <w:rsid w:val="00190EE2"/>
    <w:rsid w:val="00192753"/>
    <w:rsid w:val="00196D51"/>
    <w:rsid w:val="001A618B"/>
    <w:rsid w:val="001A7088"/>
    <w:rsid w:val="001B235A"/>
    <w:rsid w:val="001C26A1"/>
    <w:rsid w:val="001C2DC4"/>
    <w:rsid w:val="001C34EC"/>
    <w:rsid w:val="001C45B0"/>
    <w:rsid w:val="001D4BB8"/>
    <w:rsid w:val="001E2DE9"/>
    <w:rsid w:val="001E5A0B"/>
    <w:rsid w:val="001F2B4F"/>
    <w:rsid w:val="00200724"/>
    <w:rsid w:val="00200821"/>
    <w:rsid w:val="00212E0B"/>
    <w:rsid w:val="00222A13"/>
    <w:rsid w:val="00227456"/>
    <w:rsid w:val="002336F8"/>
    <w:rsid w:val="0024199C"/>
    <w:rsid w:val="00243CD4"/>
    <w:rsid w:val="00244A2B"/>
    <w:rsid w:val="00251AC1"/>
    <w:rsid w:val="00274FDB"/>
    <w:rsid w:val="00297052"/>
    <w:rsid w:val="002A01E2"/>
    <w:rsid w:val="002A15C9"/>
    <w:rsid w:val="002C03D5"/>
    <w:rsid w:val="002D06A7"/>
    <w:rsid w:val="002D1005"/>
    <w:rsid w:val="002E4A95"/>
    <w:rsid w:val="002E6EAE"/>
    <w:rsid w:val="002E6EC3"/>
    <w:rsid w:val="002E752B"/>
    <w:rsid w:val="0031210E"/>
    <w:rsid w:val="00312792"/>
    <w:rsid w:val="00330EEA"/>
    <w:rsid w:val="003462FA"/>
    <w:rsid w:val="00362542"/>
    <w:rsid w:val="00375295"/>
    <w:rsid w:val="003806E9"/>
    <w:rsid w:val="00390D79"/>
    <w:rsid w:val="003A357B"/>
    <w:rsid w:val="003A4D1E"/>
    <w:rsid w:val="003C32BE"/>
    <w:rsid w:val="003C4203"/>
    <w:rsid w:val="003C6EF2"/>
    <w:rsid w:val="003D3575"/>
    <w:rsid w:val="003F4AB9"/>
    <w:rsid w:val="003F4DBB"/>
    <w:rsid w:val="003F5BB6"/>
    <w:rsid w:val="003F743F"/>
    <w:rsid w:val="00403A96"/>
    <w:rsid w:val="00416185"/>
    <w:rsid w:val="00420D29"/>
    <w:rsid w:val="004222C1"/>
    <w:rsid w:val="0042484A"/>
    <w:rsid w:val="0043598F"/>
    <w:rsid w:val="00442CC9"/>
    <w:rsid w:val="0045536E"/>
    <w:rsid w:val="0046271B"/>
    <w:rsid w:val="004712CB"/>
    <w:rsid w:val="00475926"/>
    <w:rsid w:val="00485B86"/>
    <w:rsid w:val="0049379F"/>
    <w:rsid w:val="004A2086"/>
    <w:rsid w:val="004B087A"/>
    <w:rsid w:val="004B184A"/>
    <w:rsid w:val="004C397F"/>
    <w:rsid w:val="004C3BAE"/>
    <w:rsid w:val="004C487C"/>
    <w:rsid w:val="004C78F7"/>
    <w:rsid w:val="004D7E30"/>
    <w:rsid w:val="004E00D0"/>
    <w:rsid w:val="004E1BAE"/>
    <w:rsid w:val="004F5FAB"/>
    <w:rsid w:val="00500324"/>
    <w:rsid w:val="00504F72"/>
    <w:rsid w:val="00517C7F"/>
    <w:rsid w:val="0053006B"/>
    <w:rsid w:val="005351E9"/>
    <w:rsid w:val="00545027"/>
    <w:rsid w:val="0055090C"/>
    <w:rsid w:val="00563270"/>
    <w:rsid w:val="00573F93"/>
    <w:rsid w:val="00594EE4"/>
    <w:rsid w:val="00597A35"/>
    <w:rsid w:val="005B13DE"/>
    <w:rsid w:val="005D0FEC"/>
    <w:rsid w:val="005D2868"/>
    <w:rsid w:val="005E76AD"/>
    <w:rsid w:val="005F48D0"/>
    <w:rsid w:val="005F54E3"/>
    <w:rsid w:val="006059C3"/>
    <w:rsid w:val="006073BB"/>
    <w:rsid w:val="00613130"/>
    <w:rsid w:val="006275B8"/>
    <w:rsid w:val="00634FEB"/>
    <w:rsid w:val="00636695"/>
    <w:rsid w:val="006608B3"/>
    <w:rsid w:val="0066593E"/>
    <w:rsid w:val="00682688"/>
    <w:rsid w:val="006900B4"/>
    <w:rsid w:val="006B372B"/>
    <w:rsid w:val="006B75BE"/>
    <w:rsid w:val="006C0032"/>
    <w:rsid w:val="006C0A9B"/>
    <w:rsid w:val="006C12CC"/>
    <w:rsid w:val="006C385A"/>
    <w:rsid w:val="006D0893"/>
    <w:rsid w:val="0070676F"/>
    <w:rsid w:val="007228FF"/>
    <w:rsid w:val="007309C7"/>
    <w:rsid w:val="00730A61"/>
    <w:rsid w:val="00745791"/>
    <w:rsid w:val="00747172"/>
    <w:rsid w:val="00764CD5"/>
    <w:rsid w:val="007735B7"/>
    <w:rsid w:val="007750B3"/>
    <w:rsid w:val="00782538"/>
    <w:rsid w:val="007870BC"/>
    <w:rsid w:val="007963B0"/>
    <w:rsid w:val="007A0529"/>
    <w:rsid w:val="007A3932"/>
    <w:rsid w:val="007A695D"/>
    <w:rsid w:val="007B100B"/>
    <w:rsid w:val="007B1170"/>
    <w:rsid w:val="007C7F8A"/>
    <w:rsid w:val="007D69B2"/>
    <w:rsid w:val="007F3595"/>
    <w:rsid w:val="008001E1"/>
    <w:rsid w:val="00841463"/>
    <w:rsid w:val="008471AD"/>
    <w:rsid w:val="0085717C"/>
    <w:rsid w:val="008745A3"/>
    <w:rsid w:val="00877410"/>
    <w:rsid w:val="00881209"/>
    <w:rsid w:val="00884329"/>
    <w:rsid w:val="008A2389"/>
    <w:rsid w:val="008A3C9D"/>
    <w:rsid w:val="008C39DF"/>
    <w:rsid w:val="008C488B"/>
    <w:rsid w:val="008D65C1"/>
    <w:rsid w:val="008E44A2"/>
    <w:rsid w:val="008F7555"/>
    <w:rsid w:val="00917E01"/>
    <w:rsid w:val="00942FC7"/>
    <w:rsid w:val="00973FE0"/>
    <w:rsid w:val="009829E1"/>
    <w:rsid w:val="00982EC5"/>
    <w:rsid w:val="0098341F"/>
    <w:rsid w:val="0098409D"/>
    <w:rsid w:val="0099194B"/>
    <w:rsid w:val="00992DEC"/>
    <w:rsid w:val="009A2D9D"/>
    <w:rsid w:val="009B22B3"/>
    <w:rsid w:val="009C1AF2"/>
    <w:rsid w:val="009D7C2E"/>
    <w:rsid w:val="009E2096"/>
    <w:rsid w:val="009E2707"/>
    <w:rsid w:val="009F0BB6"/>
    <w:rsid w:val="009F34E8"/>
    <w:rsid w:val="009F5B32"/>
    <w:rsid w:val="00A217CA"/>
    <w:rsid w:val="00A31EFA"/>
    <w:rsid w:val="00A43D14"/>
    <w:rsid w:val="00A460C0"/>
    <w:rsid w:val="00A51B69"/>
    <w:rsid w:val="00A52AA5"/>
    <w:rsid w:val="00A53B7D"/>
    <w:rsid w:val="00A6148C"/>
    <w:rsid w:val="00A7435F"/>
    <w:rsid w:val="00A80E9B"/>
    <w:rsid w:val="00A84AAC"/>
    <w:rsid w:val="00A90969"/>
    <w:rsid w:val="00AA603A"/>
    <w:rsid w:val="00AB0D9A"/>
    <w:rsid w:val="00AB48A9"/>
    <w:rsid w:val="00AB4F52"/>
    <w:rsid w:val="00AE41CC"/>
    <w:rsid w:val="00AE5583"/>
    <w:rsid w:val="00AE6A55"/>
    <w:rsid w:val="00AF4EBE"/>
    <w:rsid w:val="00AF61E4"/>
    <w:rsid w:val="00AF6417"/>
    <w:rsid w:val="00B03E5B"/>
    <w:rsid w:val="00B142A2"/>
    <w:rsid w:val="00B178A8"/>
    <w:rsid w:val="00B375DF"/>
    <w:rsid w:val="00B502CD"/>
    <w:rsid w:val="00B5203A"/>
    <w:rsid w:val="00B54090"/>
    <w:rsid w:val="00B638CB"/>
    <w:rsid w:val="00B64C4B"/>
    <w:rsid w:val="00B659DB"/>
    <w:rsid w:val="00BA7E9B"/>
    <w:rsid w:val="00BB12C5"/>
    <w:rsid w:val="00BC3857"/>
    <w:rsid w:val="00BC4664"/>
    <w:rsid w:val="00BD3D45"/>
    <w:rsid w:val="00BD457C"/>
    <w:rsid w:val="00BD53F2"/>
    <w:rsid w:val="00C1274A"/>
    <w:rsid w:val="00C236D3"/>
    <w:rsid w:val="00C5003D"/>
    <w:rsid w:val="00C603CD"/>
    <w:rsid w:val="00C675E4"/>
    <w:rsid w:val="00C84FE0"/>
    <w:rsid w:val="00C8649C"/>
    <w:rsid w:val="00C972E0"/>
    <w:rsid w:val="00CB2448"/>
    <w:rsid w:val="00CB5C27"/>
    <w:rsid w:val="00CC134C"/>
    <w:rsid w:val="00CC3912"/>
    <w:rsid w:val="00CE5576"/>
    <w:rsid w:val="00CF3859"/>
    <w:rsid w:val="00CF588B"/>
    <w:rsid w:val="00CF5C8B"/>
    <w:rsid w:val="00D078FE"/>
    <w:rsid w:val="00D1551B"/>
    <w:rsid w:val="00D2519E"/>
    <w:rsid w:val="00D37E8B"/>
    <w:rsid w:val="00D622AB"/>
    <w:rsid w:val="00D720C7"/>
    <w:rsid w:val="00D731BB"/>
    <w:rsid w:val="00D737AA"/>
    <w:rsid w:val="00D763BB"/>
    <w:rsid w:val="00D90538"/>
    <w:rsid w:val="00DA04D7"/>
    <w:rsid w:val="00DA11C0"/>
    <w:rsid w:val="00DB4113"/>
    <w:rsid w:val="00DD590F"/>
    <w:rsid w:val="00DE331F"/>
    <w:rsid w:val="00DE7F5B"/>
    <w:rsid w:val="00DF054D"/>
    <w:rsid w:val="00DF1ADE"/>
    <w:rsid w:val="00E221A2"/>
    <w:rsid w:val="00E41964"/>
    <w:rsid w:val="00E424C6"/>
    <w:rsid w:val="00E51359"/>
    <w:rsid w:val="00E62C7E"/>
    <w:rsid w:val="00E64801"/>
    <w:rsid w:val="00E717ED"/>
    <w:rsid w:val="00E72FD2"/>
    <w:rsid w:val="00E74755"/>
    <w:rsid w:val="00E85AD4"/>
    <w:rsid w:val="00E92BA0"/>
    <w:rsid w:val="00E96C2D"/>
    <w:rsid w:val="00EA4AC5"/>
    <w:rsid w:val="00EB02EA"/>
    <w:rsid w:val="00EB0F38"/>
    <w:rsid w:val="00EB6191"/>
    <w:rsid w:val="00ED0AEA"/>
    <w:rsid w:val="00ED0C9C"/>
    <w:rsid w:val="00ED669F"/>
    <w:rsid w:val="00F043E8"/>
    <w:rsid w:val="00F04FBC"/>
    <w:rsid w:val="00F31D37"/>
    <w:rsid w:val="00F3406E"/>
    <w:rsid w:val="00F36899"/>
    <w:rsid w:val="00F435A7"/>
    <w:rsid w:val="00F5447F"/>
    <w:rsid w:val="00F559E4"/>
    <w:rsid w:val="00F6029B"/>
    <w:rsid w:val="00F61B71"/>
    <w:rsid w:val="00F627C2"/>
    <w:rsid w:val="00F64288"/>
    <w:rsid w:val="00F77BD8"/>
    <w:rsid w:val="00F87734"/>
    <w:rsid w:val="00FA5D1C"/>
    <w:rsid w:val="00FB2CE4"/>
    <w:rsid w:val="00FB61C0"/>
    <w:rsid w:val="00FB64D8"/>
    <w:rsid w:val="00FC10CC"/>
    <w:rsid w:val="00FC1E5B"/>
    <w:rsid w:val="00FC61BD"/>
    <w:rsid w:val="00FE130D"/>
    <w:rsid w:val="00FF22B8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4DE80"/>
  <w15:docId w15:val="{FF65DBE8-A5FC-40F6-B0C4-D4A6508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0A3981"/>
    <w:pPr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0A3981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0A398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ED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3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ED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E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31E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669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632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2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270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2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27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B659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 Rakymjanova</dc:creator>
  <cp:lastModifiedBy>Invest</cp:lastModifiedBy>
  <cp:revision>97</cp:revision>
  <cp:lastPrinted>2021-12-27T04:52:00Z</cp:lastPrinted>
  <dcterms:created xsi:type="dcterms:W3CDTF">2021-10-13T05:21:00Z</dcterms:created>
  <dcterms:modified xsi:type="dcterms:W3CDTF">2021-12-27T07:29:00Z</dcterms:modified>
</cp:coreProperties>
</file>