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34B" w:rsidRDefault="005D486A" w:rsidP="00DE534B">
      <w:pPr>
        <w:shd w:val="clear" w:color="auto" w:fill="FFFFFF"/>
        <w:spacing w:after="0" w:line="36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  <w:r w:rsidR="00E709EB" w:rsidRPr="00E709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09EB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 проекту Постановления Кабинета Министров </w:t>
      </w:r>
    </w:p>
    <w:p w:rsidR="005D486A" w:rsidRPr="005D486A" w:rsidRDefault="00E709EB" w:rsidP="00DE534B">
      <w:pPr>
        <w:shd w:val="clear" w:color="auto" w:fill="FFFFFF"/>
        <w:spacing w:after="0" w:line="360" w:lineRule="auto"/>
        <w:ind w:left="49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="005D486A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5D486A" w:rsidRPr="005D486A" w:rsidRDefault="005D486A" w:rsidP="00DE534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Положение о долевом строительстве многоквартирных жилых домов</w:t>
      </w:r>
    </w:p>
    <w:p w:rsidR="005D486A" w:rsidRPr="005D486A" w:rsidRDefault="005D486A" w:rsidP="00DE534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1. Общие положения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Настоящее Положение определяет порядок долевого строительства многоквартирных жилых домов и использования средств физических и юридических лиц, аккумулируемых для этих целей.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Для целей настоящего Положения используются следующие основные понятия: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уполномоченный государственный орган -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Государственное агентство архитектуры, строительства и жилищно-коммунального хозяйства при Кабинете Министров Кыргызской Республики и его территориальные подразделения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дольщик — физическое или юридическое лицо, заключившее договор на участие в долевом строительстве в целях приобретения на праве собственности одного или нескольких объектов долевого строительства в строительном объекте;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долевое строительство - строительство, реконструкция и перепрофилирование многоквартирных жилых домов с использованием средств застройщиков и дольщиков;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договор на участие в долевом строительстве (далее - договор) - сделка, составленная в письменной форме, регулирующая отношения между застройщиком и дольщиком по долевому строительству и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поставленная на учет в соответствии с требованиями настоящего Положения;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участники долевого строительства - застройщик, дольщик и государственный коммерческий банк;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электронная платформа - электронная база данных, создаваемая с применением современных информационно-коммуникационных технологий для ведения уполномоченным государственным органом сведений о долевом строительстве;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застройщик (девелопер) - юридическое лицо, внесенное в Электронный реестр застройщиков, привлекающих средства на долевое строительство (далее - Электронный реестр), имеющее земельный участок под строительство многоквартирных домов, и разрешительные документы на </w:t>
      </w:r>
      <w:r w:rsidR="00D93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проектирование и строительство.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объект долевого строительства – часть строительного объекта, представляющая собой жилое и (или) нежилое помещение в многоквартирном или блокированном жилом доме и (или) иные объекты недвижимости с учетом приходящейся на них в соответствии с законодательством доли инженерной и транспортной инфраструктуры, благоустройства и озеленения территории, строительство которых предусмотрено в договоре и осуществляется согласно проектной документации;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стоимость объекта долевого строительства — стоимость объекта долевого строительства, указанная в договоре;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строительный объект – совокупность одного или нескольких объектов долевого строительства, строящихся по одному адресу на земельном участке, выделенном для строительства в рамках одного проекта;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стоимость строительного объекта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совокупность расходов застройщика, в том числе расходы на получение, выкуп земельного участка для строительства многоквартирных домов (с проведением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аукционных торгов либо выплатой компенсации собственникам и на других основаниях, предусмотренных законодательст</w:t>
      </w:r>
      <w:r w:rsidR="00D93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вом) и оформление разрешительной, проектной документации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расходов, предусмотренных в проектно-сметной документации для</w:t>
      </w:r>
      <w:r w:rsidR="00D939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строительства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сдачи в эксплуатацию;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государственный коммерческий банк – банк, контрольная часть активов которого принадлежит государству.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целевой кредит - кредит на строительство объекта в соответствии с условиями договора, заключенного между застройщиком и государственным коммерческим банком, проценты по</w:t>
      </w:r>
      <w:r w:rsidR="007B3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которому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32C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должны превышать действовавшую на дату заключения договора займа учетную </w:t>
      </w:r>
      <w:r w:rsidRPr="005D486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ставку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</w:t>
      </w:r>
      <w:r w:rsidRPr="005D486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ключевую ставку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Национального банка </w:t>
      </w:r>
      <w:r w:rsidRPr="005D486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Кыргызской Республики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Застройщик вправе привлекать средства дольщиков для строительства объекта долевого строительства, при: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размещения денежных средств дольщиков на счетах эскроу в государственных коммерческих банках;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включения застройщика в Электронный реестр;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Счет эскроу открывается государственным коммерческим банком для учета и блокирования денежных средств, полученных банком от владельца счета – дольщика в счет уплаты стоимости объекта долевого строительства, в целях передачи банком таких средств застройщику после ввода в эксплуатацию строительного объекта.</w:t>
      </w:r>
      <w:r w:rsidRPr="005D486A">
        <w:rPr>
          <w:color w:val="000000"/>
          <w:sz w:val="30"/>
          <w:szCs w:val="30"/>
          <w:shd w:val="clear" w:color="auto" w:fill="FFFFFF"/>
        </w:rPr>
        <w:t xml:space="preserve">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Проценты на сумму денежных средств, находящихся на счете эскроу, не начисляются.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Государственные коммерческие банки где на счетах эскроу размещены средства дольщиков, должны выдать целевой кредит застройщику для выполнения договорных обязательств перед дольщиками.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 Ведение Электронного реестра, в том числе включение застройщиков в Электронный реестр и постановка на учет договоров осуществляется уполномоченным государственным органом через электронную платформу.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Застройщиком организуется офис продаж для ознакомления физических и юридических лиц со строительным объектом, условиями договора, порядком внесения доли и другими сведениями.</w:t>
      </w:r>
    </w:p>
    <w:p w:rsidR="001C0989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офисе продаж создаются условия для ознакомления с эскизными чертежами, чертежами объектов долевого строительства</w:t>
      </w:r>
      <w:r w:rsidR="007B3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(возможно макетом здания)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предлагаемых в соответствии с договором,</w:t>
      </w:r>
      <w:r w:rsidR="007B3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благоустройства территории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также устанавливаемым техническим оборудованием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По взаимному соглашению застройщика и дольщика ответственность застройщика может быть застрахована в соответствии с законодательством Кыргызской Республики.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2. Порядок включения застройщиков в Электронный реестр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Застройщик подлежит включению в Электронный реестр отдельно по каждому строительному объекту.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Застройщик для включения в Электронный реестр через электронную платформу представляет в уполномоченный государственный орган следующие документы в электронной форме: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копию договора генерального подряда, заключенного с застройщиком и строительно-подрядной организацией (генеральным подрядчиком) (в случае привлечения генерального подрядчика);</w:t>
      </w:r>
    </w:p>
    <w:p w:rsidR="005D486A" w:rsidRPr="005D486A" w:rsidRDefault="005D486A" w:rsidP="00DE534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копии правоустанавливающих документов на земельный участок и первичные разрешительные документы на выполнение строительных работ (</w:t>
      </w:r>
      <w:r w:rsidRPr="005D486A">
        <w:rPr>
          <w:rFonts w:ascii="Times New Roman" w:hAnsi="Times New Roman"/>
          <w:bCs/>
          <w:sz w:val="28"/>
          <w:szCs w:val="28"/>
          <w:lang w:eastAsia="ru-RU"/>
        </w:rPr>
        <w:t>архитектурно-градостроительное заключение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территориального органа по градостроительству и архитектуре с техническими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условиями подключения к сетям инженерно-технического обеспечения</w:t>
      </w:r>
      <w:r w:rsidRPr="005D486A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копии положительного заключения экспертизы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проектной документации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1C0989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копии договоров на проведение технического и авторского надзора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строительством объекта.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справку об отсутствии у застройщика просроченной задолженности по налогам и другим обязательным платежам;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документ, подтверждающий наличие у застройщика собственных финансовых ресурсов в размере не менее 20 процентов от стоимости строительного объекта, или гарантийное письмо банка о выделении кредита на данную сумму или ее недостающую часть. При этом учитывается сумма прои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зведенных расходов, связанных с проектированием и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строительством объекта;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справку об открытии счета эскроу в государственном коммерческом банке для учета и блокирования </w:t>
      </w:r>
      <w:r w:rsidR="00DE534B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денежных средств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дольщиков;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 после инте</w:t>
      </w:r>
      <w:r w:rsidR="001C09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грации электронной платформы </w:t>
      </w:r>
      <w:r w:rsidR="00DE53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</w:t>
      </w:r>
      <w:r w:rsidR="00DE534B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системой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межведомственного электронного взаимодействия «</w:t>
      </w:r>
      <w:r w:rsidRPr="005D486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Тундук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не требуется представление застройщиками документов, указанных в настоящем пункте.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Уполномоченный государственный орган вправе изучить достоверность информации и документов, представляемых застройщиком, в порядке межведомственного информационного взаимодействия.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Уполномоченный государственный орган в течение трех рабочих дней рассматривает документы, представленные застройщиком, и включает его в Электронный реестр.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случаях неполного представления информации и документов, указанных в </w:t>
      </w:r>
      <w:hyperlink r:id="rId7" w:history="1">
        <w:r w:rsidRPr="005D486A">
          <w:rPr>
            <w:rFonts w:ascii="Times New Roman" w:eastAsia="Times New Roman" w:hAnsi="Times New Roman"/>
            <w:sz w:val="28"/>
            <w:szCs w:val="28"/>
            <w:lang w:eastAsia="ru-RU"/>
          </w:rPr>
          <w:t>пункте 8 </w:t>
        </w:r>
      </w:hyperlink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настоящего Положения, или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несоответствия их действительности уполномоченный государственный орган отказывает в</w:t>
      </w:r>
      <w:r w:rsidR="00D97E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включении застройщика в Электронный реестр.</w:t>
      </w:r>
    </w:p>
    <w:p w:rsidR="005D486A" w:rsidRPr="005D486A" w:rsidRDefault="00083F85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отказа от включения</w:t>
      </w:r>
      <w:r w:rsidR="005D486A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застройщика в Электронный реестр в течение двух рабочих дней ему отправляется </w:t>
      </w:r>
      <w:r w:rsidR="00D97E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уведомление </w:t>
      </w:r>
      <w:r w:rsidR="005D486A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указанием причин отказа. </w:t>
      </w:r>
      <w:r w:rsidR="00D97E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устранения причин отказа от включения</w:t>
      </w:r>
      <w:r w:rsidR="005D486A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Электронный реестр застройщик вправе обратиться повторно.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 Электронный реестр ведется на электронной платформе.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Электронном реестре отражается общедоступная информация о наименовании, адресе, ИНН и учредителях застройщика, а также другие сведения.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 Застройщики, не включенные в Электронный реестр, не вправе привлекать средства дольщиков на долевое строительство.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3. Порядок постановки на учет договоров, внесения в них изменений и дополнений, а также расторжения договоров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 Застройщик вправе заключать договора с дольщиками после его включения в Электронный реестр.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 В договоре указываются: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 строительном объекте и объекте долевого строительства (адрес, местонахождение, номер квартиры и другие);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площадь и цена объекта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долевого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строительства;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дата и состояние сдачи дольщику объекта</w:t>
      </w:r>
      <w:r w:rsidRPr="005D486A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долевого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строительства;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суммы, вносимой дольщиком, график выплат;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взаиморасчетов;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график строительно-монтажных работ;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права, обязательства и ответственность сторон;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уступки прав требований по договору;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гарантийный срок эксплуатации объекта строительства (не менее двух лет);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разрешения споров и другие условия, согласованные сторонами в соответствии с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16. Для постановки договора на учет застройщик представляет в уполномоченный государственный орган следующие документы: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- копия договора;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- копию паспорта дольщика, если дольщиком является юридическое лицо - копию свидетельства о проведении государственной регистрации;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17. Для постановки договора на учет документы представляются в уполномоченный государственный орган через электронную платформу.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18. Уполномоченный государственный орган в течение трех рабочих дней рассматривает и ставит договор на учет.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Уведомление о постановке на учет договора отправляется путем СМС-сообщения на номер телефона уполномоченного со</w:t>
      </w:r>
      <w:r w:rsidR="00083F85">
        <w:rPr>
          <w:rFonts w:ascii="Times New Roman" w:eastAsia="Times New Roman" w:hAnsi="Times New Roman"/>
          <w:sz w:val="28"/>
          <w:szCs w:val="28"/>
          <w:lang w:eastAsia="ru-RU"/>
        </w:rPr>
        <w:t>трудника застройщика и дольщика или на электронный адрес.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3F85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19. Если представленный договор не соответствует требованиям, указанным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в </w:t>
      </w:r>
      <w:hyperlink r:id="rId8" w:history="1">
        <w:r w:rsidRPr="005D486A">
          <w:rPr>
            <w:rFonts w:ascii="Times New Roman" w:eastAsia="Times New Roman" w:hAnsi="Times New Roman"/>
            <w:sz w:val="28"/>
            <w:szCs w:val="28"/>
            <w:lang w:eastAsia="ru-RU"/>
          </w:rPr>
          <w:t>пункте 1</w:t>
        </w:r>
      </w:hyperlink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настоящего Положения и (или) не приложены документы, указанные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в </w:t>
      </w:r>
      <w:hyperlink r:id="rId9" w:history="1">
        <w:r w:rsidRPr="005D486A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</w:hyperlink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16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 Положения, уполномоченный государственный орган отказывает в постановке договора на учет. После устранения причин отказа в постановке договора на учет застройщик вправе обратиться повторно.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20.</w:t>
      </w:r>
      <w:r w:rsidRPr="005D48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предусмотренного договором срока передачи дольщику объекта долевого строительства застройщик уплачивает дольщику неустойку (пени) в размере одной трехсотой ставки рефинансирования Национального банка Кыргызской Республики действующей на день исполнения обязательства, от цены договора за каждый день просрочки.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В случае, если строительство объекта не может быть завершено в предусмотренный договором срок, застройщик не позднее чем за два месяца до истечения указанного срока обязан направить дольщику соответствующую информацию и предложение об изменении договора</w:t>
      </w:r>
      <w:r w:rsidR="00083F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21. В случае систематического нарушения дольщиком нарушения срока внесения платежа более чем три раза в течение </w:t>
      </w:r>
      <w:r w:rsidR="00083F85">
        <w:rPr>
          <w:rFonts w:ascii="Times New Roman" w:eastAsia="Times New Roman" w:hAnsi="Times New Roman"/>
          <w:sz w:val="28"/>
          <w:szCs w:val="28"/>
          <w:lang w:eastAsia="ru-RU"/>
        </w:rPr>
        <w:t>двенадцати месяцев или просрочки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внесения платежа в течение более чем два месяца, является основанием для одностороннего отказа застройщика от исполнения договора. При одностороннем расторжении договора, поставленного на учет в установленном порядке, по причине несвоевременного исполнения дольщиком своих обязательств</w:t>
      </w:r>
      <w:r w:rsidR="00A6787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производится постановка на учет нового договора по данному объекту долевого строительства. В случае расторжения договора застройщик обязан в течение трех рабочих дней уведомить об этом уполномоченный государственный орган через электронную платформу.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22. В случае нарушения установленного договором срока внесения платежа, дольщик уплачивает застройщику неустойку (пени) в размере одной трехсотой </w:t>
      </w:r>
      <w:hyperlink r:id="rId10" w:history="1">
        <w:r w:rsidRPr="005D486A">
          <w:rPr>
            <w:rFonts w:ascii="Times New Roman" w:eastAsia="Times New Roman" w:hAnsi="Times New Roman"/>
            <w:sz w:val="28"/>
            <w:szCs w:val="28"/>
            <w:lang w:eastAsia="ru-RU"/>
          </w:rPr>
          <w:t>ставки рефинансирования</w:t>
        </w:r>
      </w:hyperlink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 Национального банка Кыргызской Республики, действующей на день исполнения обязательства, от суммы просроченного платежа за каждый день просрочки.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23. В случае признания строительного объекта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проблемным объектом в установленном порядке постановка на учет новых договоров по данному строительному объекту, а также изменений и дополнений к ранее заключенным договорам приостанавливается.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24. Внесение в договор изменений, связанных с заменой дольщика, осуществляется 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подписании соглашения, предусматривающего отказ дольщика от права истребования своей доли в пользу другого лица, обязательно представление нотариально заверенного согласия супруга дольщика.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Договоры, а также изменения и дополнения, внесенные в договора, не поставленные на учет в порядке, установленном настоящим Положением, считаются недействительными.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4. Ведение уполномоченным государственным органом данных об объектах долевого строительства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25. Уполномоченный государственный орган осуществляет ведение на электронной платформе следующих общедоступных данных об объектах долевого строительства: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 строительном объекте, в котором расположен объект долевого строительства (количество многоквартирных домов, жилых и нежилых помещений, объекты инженерной, дорожно-транспортной и социальной инфраструктуры, а также вспомогательные объекты по проекту);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 договоре, заключенном по каждому объекту долевого строительства (порядковый номер, дата заключения договора, внесенных в него изменений и дополнений, а также расторжения);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 застройщике и строительно-подрядной организации (генеральном подрядчике);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 проблемных строительных объектах и недобросовестных застройщиках.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26. Уполномоченный государственный орган обеспечивает регулярное обновление и открытый доступ к информации.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5. Особенности открытия, ведения и закрытия счета эскроу для расчетов по договору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участие в долевом строительстве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27.</w:t>
      </w:r>
      <w:r w:rsidRPr="005D486A">
        <w:rPr>
          <w:color w:val="000000"/>
          <w:sz w:val="30"/>
          <w:szCs w:val="30"/>
          <w:shd w:val="clear" w:color="auto" w:fill="FFFFFF"/>
        </w:rPr>
        <w:t xml:space="preserve">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привлечения застройщиком денежных средств дольщиков, размещения таких средств на счетах эскроу, все дольщики строительного объекта вносят денежные средства по договору на счета эскроу, открытые в государственном коммерческом банке.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28. Если государственный коммерческий банк взаимодействует с клиентами с использованием систем дистанционного банковского обслуживания, заявление об открытии счета эскроу, договор счета эскроу могут быть заполнены и подписаны простой электронной подписью с использованием систем дистанционного банковского обслуживания уполномоченного банка в соответствии с банковскими правилами.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29. Денежные средства на счет эскроу вносятся после регистрации договор</w:t>
      </w:r>
      <w:r w:rsidR="00A678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участие в долевом строительстве, на срок условного депонирования денежных средств, который не может превышать более чем на шесть месяцев срок ввода в эксплуатацию строительного объекта.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30. Помимо предусмотренных Гражданским </w:t>
      </w:r>
      <w:hyperlink r:id="rId11" w:anchor="dst421" w:history="1">
        <w:r w:rsidRPr="005D486A">
          <w:rPr>
            <w:rFonts w:ascii="Times New Roman" w:eastAsia="Times New Roman" w:hAnsi="Times New Roman"/>
            <w:sz w:val="28"/>
            <w:szCs w:val="28"/>
            <w:lang w:eastAsia="ru-RU"/>
          </w:rPr>
          <w:t>кодексом</w:t>
        </w:r>
      </w:hyperlink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 Кыргызской Республики оснований прекращения договора счета эскроу договор счета эскроу для расчетов по договору участия в долевом строительстве прекращается по следующим основаниям: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1) при расторжении договора участия в долевом строительстве;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2) при отказе от договора участия в долевом строительстве в одностороннем порядке.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>31. Государственный коммерческий банк вправе отказаться от договора счета эскроу в одностороннем порядке при невнесении денежных средств на счет эскроу в течение более трех месяцев со дня заключения такого договора.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t xml:space="preserve">32. В случае прекращения договора счета эскроу, денежные средства со счета эскроу на основании полученных банком сведений о </w:t>
      </w:r>
      <w:r w:rsidRPr="005D48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погашении записи о государственной регистрации договора участия в долевом строительстве, содержащихся в государственном реестре, подлежат возврату дольщику. Договор счета эскроу должен содержать информацию о банковском счете депонента, на который перечисляются денежные средства, а также информацию о залогодержателе и реквизиты залогового счета, на который банком перечисляются денежные средства, если договор на участие в долевом строительстве содержит указание на использование дольщиком для оплаты стоимости объекта долевого строительства. 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6. Использование денежных средств застройщиком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33. Средства на отдельном расчетном счете застройщика могут использоваться исключительно в целях выполнения обязательств по договорам между застройщиком и дольщиками.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34. Запрещается использование денежных средств застройщиком направлять, на следующие цели: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покрытие других займов, за исключением средств, привлеченных для проведения первоначальных строительных работ на строительном объекте;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выделение займа (финансовой помощи);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уставного фонда хозяйствующих субъектов, приобретение акций, долей и облигаций;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приобретение товаров (работ и услуг), не связанных со строительным объектом;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выплату дивидендов учредителям (акционерам) до полного ввода в эксплуатацию строительного объекта.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35. После полного ввода строительного объекта в эксплуатацию средства дольщиков с эскроу счета перечисляются на основной расчетный счет застройщика.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8. Контроль за строительством объектов строительства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36. Контроль за строительством объектов строительства осуществляется 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37. Дольщик вправе: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знакомиться с текущим состоянием строительных работ на объекте долевого строительства;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требовать от застройщика представления в письменной форме информации по исполнению условий договора;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проводить технический контроль строительства объектов долевого строительства, а также контролировать целевое использование средств путем привлечения юридических лиц или специалистов 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38. Уполномоченный государственный орган осуществляет мониторинг соблюдения этапов выполнения строительно-монтажных работ в соответствии с графиком, утвержденным договором.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39. Застройщики через свои официальные веб-сайты или страницы в социальных сетях регулярно информируют о расходовании средств дольщиков и выполнении работ на строительных объектах, а также обеспечивает возможность наблюдения за строительными объектами в режиме онлайн.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40. Строительный объект может быть отнесен уполномоченным государственным органом к категории проблемных объектов в случаях: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грубого нарушения строительных и градостроительных норм и правил;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необоснованной задержки ввода в эксплуатацию объектов строительства на срок более шести месяцев;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нарушения застройщиком обязательства по сдаче дольщикам объектов строительства или объявления его банкротом.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41. Материалы о проблемном объекте направляются уполномоченным государственным органом в соответствующие правоохранительные органы в установленном порядке.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7. Порядок ввода в эксплуатацию объектов долевого строительства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42. Объект долевого строительства вводится в эксплуатацию после завершения предусмотренных в договоре строительно-монтажных</w:t>
      </w:r>
      <w:r w:rsidR="005B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работ</w:t>
      </w:r>
      <w:r w:rsidR="005B17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благоустройству территории</w:t>
      </w:r>
      <w:r w:rsidR="005B17F1"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43. Объект долевого строительства сдается дольщику на основании акта приема-передачи. Обязательства застройщика считаются исполненными с момента подписания сторонами передаточного акта или иного документа о передаче объекта долевого строительства.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44. Обязательства дольщика считаются исполненными с момента уплаты в полном объеме денежных средств в соответствии с договором и подписания сторонами передаточного акта или иного документа о передаче объекта долевого строительства.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45. Государственная регистрация права собственности дольщика на объект строительства производится на основе договора, акта приема-передачи, подписанного между застройщиком и дольщиком, а также акта о приемке объекта строительства в эксплуатацию.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46. Государственная регистрация права собственности дольщика производится 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Глава 8. Заключительные положения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47. Споры, вытекающие из договоров, разрешаются в порядке, установленном законодательством.</w:t>
      </w:r>
    </w:p>
    <w:p w:rsidR="005D486A" w:rsidRPr="005D486A" w:rsidRDefault="005D486A" w:rsidP="00DE53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4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48. Лица, виновные в нарушении требований настоящего Положения, несут ответственность в порядке, установленном законодательством.</w:t>
      </w:r>
    </w:p>
    <w:sectPr w:rsidR="005D486A" w:rsidRPr="005D486A" w:rsidSect="00DE534B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405" w:rsidRDefault="00603405" w:rsidP="00320399">
      <w:pPr>
        <w:spacing w:after="0" w:line="240" w:lineRule="auto"/>
      </w:pPr>
      <w:r>
        <w:separator/>
      </w:r>
    </w:p>
  </w:endnote>
  <w:endnote w:type="continuationSeparator" w:id="0">
    <w:p w:rsidR="00603405" w:rsidRDefault="00603405" w:rsidP="0032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405" w:rsidRDefault="00603405" w:rsidP="00320399">
      <w:pPr>
        <w:spacing w:after="0" w:line="240" w:lineRule="auto"/>
      </w:pPr>
      <w:r>
        <w:separator/>
      </w:r>
    </w:p>
  </w:footnote>
  <w:footnote w:type="continuationSeparator" w:id="0">
    <w:p w:rsidR="00603405" w:rsidRDefault="00603405" w:rsidP="00320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912FA"/>
    <w:multiLevelType w:val="hybridMultilevel"/>
    <w:tmpl w:val="1826D676"/>
    <w:lvl w:ilvl="0" w:tplc="4F42F68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53E2ED8"/>
    <w:multiLevelType w:val="hybridMultilevel"/>
    <w:tmpl w:val="4D366F0C"/>
    <w:lvl w:ilvl="0" w:tplc="95AC7AB0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 w15:restartNumberingAfterBreak="0">
    <w:nsid w:val="50E101E5"/>
    <w:multiLevelType w:val="hybridMultilevel"/>
    <w:tmpl w:val="5816BE6E"/>
    <w:lvl w:ilvl="0" w:tplc="3F701252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 w15:restartNumberingAfterBreak="0">
    <w:nsid w:val="65EB2B02"/>
    <w:multiLevelType w:val="hybridMultilevel"/>
    <w:tmpl w:val="1FE4D224"/>
    <w:lvl w:ilvl="0" w:tplc="ED662176">
      <w:start w:val="1"/>
      <w:numFmt w:val="decimal"/>
      <w:lvlText w:val="%1."/>
      <w:lvlJc w:val="left"/>
      <w:pPr>
        <w:ind w:left="246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9E"/>
    <w:rsid w:val="00022F49"/>
    <w:rsid w:val="000670DB"/>
    <w:rsid w:val="00083F85"/>
    <w:rsid w:val="000B748C"/>
    <w:rsid w:val="000C4CA7"/>
    <w:rsid w:val="00137281"/>
    <w:rsid w:val="00165676"/>
    <w:rsid w:val="001701B3"/>
    <w:rsid w:val="00185161"/>
    <w:rsid w:val="001903A4"/>
    <w:rsid w:val="001939A9"/>
    <w:rsid w:val="001C0989"/>
    <w:rsid w:val="00225C8D"/>
    <w:rsid w:val="002301F5"/>
    <w:rsid w:val="002B0688"/>
    <w:rsid w:val="00320399"/>
    <w:rsid w:val="003A51A7"/>
    <w:rsid w:val="003C1B97"/>
    <w:rsid w:val="004065D6"/>
    <w:rsid w:val="00422ED3"/>
    <w:rsid w:val="0043099E"/>
    <w:rsid w:val="00432E1A"/>
    <w:rsid w:val="004D016E"/>
    <w:rsid w:val="00501302"/>
    <w:rsid w:val="005138B7"/>
    <w:rsid w:val="00571B2C"/>
    <w:rsid w:val="005B17F1"/>
    <w:rsid w:val="005D30AE"/>
    <w:rsid w:val="005D486A"/>
    <w:rsid w:val="005E45C1"/>
    <w:rsid w:val="005F0BC7"/>
    <w:rsid w:val="006009B9"/>
    <w:rsid w:val="00603405"/>
    <w:rsid w:val="006110EF"/>
    <w:rsid w:val="00667235"/>
    <w:rsid w:val="006B0112"/>
    <w:rsid w:val="00754163"/>
    <w:rsid w:val="00757276"/>
    <w:rsid w:val="007B332C"/>
    <w:rsid w:val="00851AD6"/>
    <w:rsid w:val="008938B9"/>
    <w:rsid w:val="008A638F"/>
    <w:rsid w:val="008B7C36"/>
    <w:rsid w:val="008D4B9A"/>
    <w:rsid w:val="009613B9"/>
    <w:rsid w:val="009642F9"/>
    <w:rsid w:val="00A016BC"/>
    <w:rsid w:val="00A67873"/>
    <w:rsid w:val="00A7397C"/>
    <w:rsid w:val="00AB05C7"/>
    <w:rsid w:val="00AE0E71"/>
    <w:rsid w:val="00AF6E4E"/>
    <w:rsid w:val="00B21288"/>
    <w:rsid w:val="00B27C3D"/>
    <w:rsid w:val="00BA6814"/>
    <w:rsid w:val="00BA7E95"/>
    <w:rsid w:val="00BB6FBD"/>
    <w:rsid w:val="00C14D5F"/>
    <w:rsid w:val="00C31A1C"/>
    <w:rsid w:val="00C6505E"/>
    <w:rsid w:val="00C90282"/>
    <w:rsid w:val="00CB5E90"/>
    <w:rsid w:val="00CC7A06"/>
    <w:rsid w:val="00CF2AD1"/>
    <w:rsid w:val="00D232FB"/>
    <w:rsid w:val="00D24120"/>
    <w:rsid w:val="00D53C91"/>
    <w:rsid w:val="00D9390A"/>
    <w:rsid w:val="00D97E97"/>
    <w:rsid w:val="00D97F10"/>
    <w:rsid w:val="00DE534B"/>
    <w:rsid w:val="00E54DB8"/>
    <w:rsid w:val="00E679E3"/>
    <w:rsid w:val="00E709EB"/>
    <w:rsid w:val="00EB02EF"/>
    <w:rsid w:val="00EB5FE0"/>
    <w:rsid w:val="00EC45FC"/>
    <w:rsid w:val="00F074BC"/>
    <w:rsid w:val="00F605F5"/>
    <w:rsid w:val="00F673C7"/>
    <w:rsid w:val="00F71B7C"/>
    <w:rsid w:val="00FA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0D3BB-2BA5-4E57-A879-F39F312D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9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5C7"/>
    <w:pPr>
      <w:ind w:left="720"/>
      <w:contextualSpacing/>
    </w:pPr>
  </w:style>
  <w:style w:type="paragraph" w:styleId="a4">
    <w:name w:val="No Spacing"/>
    <w:uiPriority w:val="1"/>
    <w:qFormat/>
    <w:rsid w:val="005D486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203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32039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203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20399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20399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039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crollText(483369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scrollText(4833605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89103/011b50a6cbc38d3c73875e8470e3f22982b1fef7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1245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scrollText(48337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Links>
    <vt:vector size="30" baseType="variant">
      <vt:variant>
        <vt:i4>5570599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http://www.consultant.ru/document/cons_doc_LAW_389103/011b50a6cbc38d3c73875e8470e3f22982b1fef7/</vt:lpwstr>
      </vt:variant>
      <vt:variant>
        <vt:lpwstr>dst421</vt:lpwstr>
      </vt:variant>
      <vt:variant>
        <vt:i4>983096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http://www.consultant.ru/document/cons_doc_LAW_12453/</vt:lpwstr>
      </vt:variant>
      <vt:variant>
        <vt:lpwstr/>
      </vt:variant>
      <vt:variant>
        <vt:i4>2555940</vt:i4>
      </vt:variant>
      <vt:variant>
        <vt:i4>6</vt:i4>
      </vt:variant>
      <vt:variant>
        <vt:i4>0</vt:i4>
      </vt:variant>
      <vt:variant>
        <vt:i4>5</vt:i4>
      </vt:variant>
      <vt:variant>
        <vt:lpwstr>javascript:scrollText(4833722)</vt:lpwstr>
      </vt:variant>
      <vt:variant>
        <vt:lpwstr/>
      </vt:variant>
      <vt:variant>
        <vt:i4>2883623</vt:i4>
      </vt:variant>
      <vt:variant>
        <vt:i4>3</vt:i4>
      </vt:variant>
      <vt:variant>
        <vt:i4>0</vt:i4>
      </vt:variant>
      <vt:variant>
        <vt:i4>5</vt:i4>
      </vt:variant>
      <vt:variant>
        <vt:lpwstr>javascript:scrollText(4833690)</vt:lpwstr>
      </vt:variant>
      <vt:variant>
        <vt:lpwstr/>
      </vt:variant>
      <vt:variant>
        <vt:i4>2424866</vt:i4>
      </vt:variant>
      <vt:variant>
        <vt:i4>0</vt:i4>
      </vt:variant>
      <vt:variant>
        <vt:i4>0</vt:i4>
      </vt:variant>
      <vt:variant>
        <vt:i4>5</vt:i4>
      </vt:variant>
      <vt:variant>
        <vt:lpwstr>javascript:scrollText(4833605)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Пользователь Windows</cp:lastModifiedBy>
  <cp:revision>2</cp:revision>
  <cp:lastPrinted>2021-11-23T06:17:00Z</cp:lastPrinted>
  <dcterms:created xsi:type="dcterms:W3CDTF">2021-11-29T08:27:00Z</dcterms:created>
  <dcterms:modified xsi:type="dcterms:W3CDTF">2021-11-29T08:27:00Z</dcterms:modified>
</cp:coreProperties>
</file>