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6DA" w:rsidRPr="003611B6" w:rsidRDefault="00F656DA" w:rsidP="00DB0DE1">
      <w:pPr>
        <w:spacing w:after="0" w:line="240" w:lineRule="auto"/>
        <w:ind w:left="6372"/>
        <w:rPr>
          <w:rFonts w:ascii="Times New Roman" w:hAnsi="Times New Roman" w:cs="Times New Roman"/>
          <w:bCs/>
          <w:sz w:val="24"/>
          <w:lang w:val="ky-KG"/>
        </w:rPr>
      </w:pPr>
      <w:r w:rsidRPr="003611B6">
        <w:rPr>
          <w:rFonts w:ascii="Times New Roman" w:hAnsi="Times New Roman" w:cs="Times New Roman"/>
          <w:bCs/>
          <w:sz w:val="24"/>
          <w:lang w:val="ky-KG"/>
        </w:rPr>
        <w:t>Негиздеме-маалымкатка</w:t>
      </w:r>
    </w:p>
    <w:p w:rsidR="00F656DA" w:rsidRPr="003611B6" w:rsidRDefault="00F656DA" w:rsidP="00DB0DE1">
      <w:pPr>
        <w:spacing w:after="0" w:line="240" w:lineRule="auto"/>
        <w:ind w:left="6372"/>
        <w:rPr>
          <w:rFonts w:ascii="Times New Roman" w:hAnsi="Times New Roman" w:cs="Times New Roman"/>
          <w:bCs/>
          <w:sz w:val="24"/>
          <w:lang w:val="ky-KG"/>
        </w:rPr>
      </w:pPr>
      <w:r w:rsidRPr="003611B6">
        <w:rPr>
          <w:rFonts w:ascii="Times New Roman" w:hAnsi="Times New Roman" w:cs="Times New Roman"/>
          <w:bCs/>
          <w:sz w:val="24"/>
          <w:lang w:val="ky-KG"/>
        </w:rPr>
        <w:t>тиркеме</w:t>
      </w:r>
    </w:p>
    <w:p w:rsidR="00F656DA" w:rsidRPr="003611B6" w:rsidRDefault="00F656DA" w:rsidP="00DB0DE1">
      <w:pPr>
        <w:spacing w:after="0" w:line="240" w:lineRule="auto"/>
        <w:ind w:left="6372"/>
        <w:rPr>
          <w:rFonts w:ascii="Times New Roman" w:hAnsi="Times New Roman" w:cs="Times New Roman"/>
          <w:b/>
          <w:bCs/>
          <w:lang w:val="ky-KG"/>
        </w:rPr>
      </w:pPr>
    </w:p>
    <w:p w:rsidR="00E3230C" w:rsidRPr="003611B6" w:rsidRDefault="00044F2B" w:rsidP="00DB0DE1">
      <w:pPr>
        <w:spacing w:after="0" w:line="240" w:lineRule="auto"/>
        <w:jc w:val="center"/>
        <w:rPr>
          <w:rFonts w:ascii="Times New Roman" w:hAnsi="Times New Roman" w:cs="Times New Roman"/>
          <w:b/>
          <w:bCs/>
          <w:sz w:val="24"/>
          <w:szCs w:val="24"/>
          <w:lang w:val="ky-KG"/>
        </w:rPr>
      </w:pPr>
      <w:r w:rsidRPr="003611B6">
        <w:rPr>
          <w:rFonts w:ascii="Times New Roman" w:hAnsi="Times New Roman" w:cs="Times New Roman"/>
          <w:b/>
          <w:bCs/>
          <w:sz w:val="24"/>
          <w:szCs w:val="24"/>
          <w:lang w:val="ky-KG"/>
        </w:rPr>
        <w:t>«Кыргыз Республикасынын Социалдык фондунун 20</w:t>
      </w:r>
      <w:r w:rsidR="00876B2E" w:rsidRPr="003611B6">
        <w:rPr>
          <w:rFonts w:ascii="Times New Roman" w:hAnsi="Times New Roman" w:cs="Times New Roman"/>
          <w:b/>
          <w:bCs/>
          <w:sz w:val="24"/>
          <w:szCs w:val="24"/>
          <w:lang w:val="ky-KG"/>
        </w:rPr>
        <w:t>20</w:t>
      </w:r>
      <w:r w:rsidRPr="003611B6">
        <w:rPr>
          <w:rFonts w:ascii="Times New Roman" w:hAnsi="Times New Roman" w:cs="Times New Roman"/>
          <w:b/>
          <w:bCs/>
          <w:sz w:val="24"/>
          <w:szCs w:val="24"/>
          <w:lang w:val="ky-KG"/>
        </w:rPr>
        <w:t xml:space="preserve">-жылга бюджети жана 2019-2020-жылдарга божомолу жөнүндө» Кыргыз Республикасынын Мыйзамына өзгөртүүлөрдү киргизүү тууралуу» Кыргыз Республикасынын Мыйзамынын долбооруна </w:t>
      </w:r>
      <w:r w:rsidR="00E3230C" w:rsidRPr="003611B6">
        <w:rPr>
          <w:rFonts w:ascii="Times New Roman" w:hAnsi="Times New Roman" w:cs="Times New Roman"/>
          <w:b/>
          <w:bCs/>
          <w:sz w:val="24"/>
          <w:szCs w:val="24"/>
          <w:lang w:val="ky-KG"/>
        </w:rPr>
        <w:t xml:space="preserve"> </w:t>
      </w:r>
      <w:r w:rsidR="00E3230C" w:rsidRPr="003611B6">
        <w:rPr>
          <w:rFonts w:ascii="Times New Roman" w:hAnsi="Times New Roman" w:cs="Times New Roman"/>
          <w:b/>
          <w:sz w:val="24"/>
          <w:szCs w:val="24"/>
          <w:lang w:val="ky-KG"/>
        </w:rPr>
        <w:t>түшүндүрмө кат</w:t>
      </w:r>
    </w:p>
    <w:p w:rsidR="00BF3B40" w:rsidRPr="003611B6" w:rsidRDefault="00BF3B40" w:rsidP="00DB0DE1">
      <w:pPr>
        <w:pStyle w:val="a3"/>
        <w:spacing w:after="0" w:line="240" w:lineRule="auto"/>
        <w:ind w:left="567"/>
        <w:jc w:val="center"/>
        <w:rPr>
          <w:rFonts w:ascii="Times New Roman" w:hAnsi="Times New Roman" w:cs="Times New Roman"/>
          <w:b/>
          <w:sz w:val="24"/>
          <w:szCs w:val="24"/>
          <w:lang w:val="ky-KG"/>
        </w:rPr>
      </w:pPr>
    </w:p>
    <w:p w:rsidR="003057A1" w:rsidRPr="003611B6" w:rsidRDefault="005814DA" w:rsidP="00DB0DE1">
      <w:pPr>
        <w:spacing w:after="0" w:line="240" w:lineRule="auto"/>
        <w:ind w:firstLine="567"/>
        <w:jc w:val="both"/>
        <w:rPr>
          <w:rFonts w:ascii="Times New Roman" w:hAnsi="Times New Roman" w:cs="Times New Roman"/>
          <w:sz w:val="24"/>
          <w:szCs w:val="24"/>
          <w:lang w:val="ky-KG"/>
        </w:rPr>
      </w:pPr>
      <w:r w:rsidRPr="003611B6">
        <w:rPr>
          <w:rFonts w:ascii="Times New Roman" w:hAnsi="Times New Roman" w:cs="Times New Roman"/>
          <w:bCs/>
          <w:sz w:val="24"/>
          <w:szCs w:val="24"/>
          <w:lang w:val="ky-KG"/>
        </w:rPr>
        <w:t>Кыргыз Республикасынын Социалдык фондунун 20</w:t>
      </w:r>
      <w:r w:rsidR="00876B2E" w:rsidRPr="003611B6">
        <w:rPr>
          <w:rFonts w:ascii="Times New Roman" w:hAnsi="Times New Roman" w:cs="Times New Roman"/>
          <w:bCs/>
          <w:sz w:val="24"/>
          <w:szCs w:val="24"/>
          <w:lang w:val="ky-KG"/>
        </w:rPr>
        <w:t>20</w:t>
      </w:r>
      <w:r w:rsidRPr="003611B6">
        <w:rPr>
          <w:rFonts w:ascii="Times New Roman" w:hAnsi="Times New Roman" w:cs="Times New Roman"/>
          <w:bCs/>
          <w:sz w:val="24"/>
          <w:szCs w:val="24"/>
          <w:lang w:val="ky-KG"/>
        </w:rPr>
        <w:t xml:space="preserve">-жылга такталган бюджети кирешелер боюнча </w:t>
      </w:r>
      <w:r w:rsidR="00876B2E" w:rsidRPr="003611B6">
        <w:rPr>
          <w:rFonts w:ascii="Times New Roman" w:eastAsia="Times New Roman" w:hAnsi="Times New Roman" w:cs="Times New Roman"/>
          <w:sz w:val="24"/>
          <w:szCs w:val="24"/>
          <w:lang w:eastAsia="ru-RU"/>
        </w:rPr>
        <w:t>57 </w:t>
      </w:r>
      <w:r w:rsidR="00876B2E" w:rsidRPr="003611B6">
        <w:rPr>
          <w:rFonts w:ascii="Times New Roman" w:eastAsia="Times New Roman" w:hAnsi="Times New Roman" w:cs="Times New Roman"/>
          <w:sz w:val="24"/>
          <w:szCs w:val="24"/>
          <w:lang w:val="ky-KG" w:eastAsia="ru-RU"/>
        </w:rPr>
        <w:t>225,9</w:t>
      </w:r>
      <w:r w:rsidR="00876B2E" w:rsidRPr="003611B6">
        <w:rPr>
          <w:rFonts w:ascii="Times New Roman" w:eastAsia="Times New Roman" w:hAnsi="Times New Roman" w:cs="Times New Roman"/>
          <w:sz w:val="24"/>
          <w:szCs w:val="24"/>
          <w:lang w:eastAsia="ru-RU"/>
        </w:rPr>
        <w:t xml:space="preserve"> </w:t>
      </w:r>
      <w:r w:rsidRPr="003611B6">
        <w:rPr>
          <w:rFonts w:ascii="Times New Roman" w:hAnsi="Times New Roman" w:cs="Times New Roman"/>
          <w:sz w:val="24"/>
          <w:szCs w:val="24"/>
          <w:lang w:val="ky-KG"/>
        </w:rPr>
        <w:t>млн. сом суммасында (ИДПдан 9,</w:t>
      </w:r>
      <w:r w:rsidR="00876B2E" w:rsidRPr="003611B6">
        <w:rPr>
          <w:rFonts w:ascii="Times New Roman" w:hAnsi="Times New Roman" w:cs="Times New Roman"/>
          <w:sz w:val="24"/>
          <w:szCs w:val="24"/>
          <w:lang w:val="ky-KG"/>
        </w:rPr>
        <w:t>8</w:t>
      </w:r>
      <w:r w:rsidRPr="003611B6">
        <w:rPr>
          <w:rFonts w:ascii="Times New Roman" w:hAnsi="Times New Roman" w:cs="Times New Roman"/>
          <w:sz w:val="24"/>
          <w:szCs w:val="24"/>
          <w:lang w:val="ky-KG"/>
        </w:rPr>
        <w:t xml:space="preserve">%) же бекитилген бюджеттен </w:t>
      </w:r>
      <w:r w:rsidR="00876B2E" w:rsidRPr="003611B6">
        <w:rPr>
          <w:rFonts w:ascii="Times New Roman" w:eastAsia="Times New Roman" w:hAnsi="Times New Roman" w:cs="Times New Roman"/>
          <w:sz w:val="24"/>
          <w:szCs w:val="24"/>
          <w:lang w:val="ky-KG" w:eastAsia="ru-RU"/>
        </w:rPr>
        <w:t>666,2</w:t>
      </w:r>
      <w:r w:rsidR="005E14FE" w:rsidRPr="003611B6">
        <w:rPr>
          <w:rFonts w:ascii="Times New Roman" w:eastAsia="Times New Roman" w:hAnsi="Times New Roman" w:cs="Times New Roman"/>
          <w:sz w:val="24"/>
          <w:szCs w:val="24"/>
          <w:lang w:val="ky-KG" w:eastAsia="ru-RU"/>
        </w:rPr>
        <w:t xml:space="preserve"> </w:t>
      </w:r>
      <w:r w:rsidRPr="003611B6">
        <w:rPr>
          <w:rFonts w:ascii="Times New Roman" w:hAnsi="Times New Roman" w:cs="Times New Roman"/>
          <w:sz w:val="24"/>
          <w:szCs w:val="24"/>
          <w:lang w:val="ky-KG"/>
        </w:rPr>
        <w:t xml:space="preserve">млн. сомго </w:t>
      </w:r>
      <w:r w:rsidR="00876B2E" w:rsidRPr="003611B6">
        <w:rPr>
          <w:rFonts w:ascii="Times New Roman" w:hAnsi="Times New Roman" w:cs="Times New Roman"/>
          <w:sz w:val="24"/>
          <w:szCs w:val="24"/>
          <w:lang w:val="ky-KG"/>
        </w:rPr>
        <w:t>аз</w:t>
      </w:r>
      <w:r w:rsidRPr="003611B6">
        <w:rPr>
          <w:rFonts w:ascii="Times New Roman" w:hAnsi="Times New Roman" w:cs="Times New Roman"/>
          <w:sz w:val="24"/>
          <w:szCs w:val="24"/>
          <w:lang w:val="ky-KG"/>
        </w:rPr>
        <w:t xml:space="preserve"> </w:t>
      </w:r>
      <w:r w:rsidRPr="003611B6">
        <w:rPr>
          <w:rFonts w:ascii="Times New Roman" w:hAnsi="Times New Roman" w:cs="Times New Roman"/>
          <w:bCs/>
          <w:sz w:val="24"/>
          <w:szCs w:val="24"/>
          <w:lang w:val="ky-KG"/>
        </w:rPr>
        <w:t>түзүлдү.</w:t>
      </w:r>
      <w:r w:rsidR="005E14FE" w:rsidRPr="003611B6">
        <w:rPr>
          <w:rFonts w:ascii="Times New Roman" w:hAnsi="Times New Roman" w:cs="Times New Roman"/>
          <w:bCs/>
          <w:sz w:val="24"/>
          <w:szCs w:val="24"/>
          <w:lang w:val="ky-KG"/>
        </w:rPr>
        <w:t xml:space="preserve"> 201</w:t>
      </w:r>
      <w:r w:rsidR="00876B2E" w:rsidRPr="003611B6">
        <w:rPr>
          <w:rFonts w:ascii="Times New Roman" w:hAnsi="Times New Roman" w:cs="Times New Roman"/>
          <w:bCs/>
          <w:sz w:val="24"/>
          <w:szCs w:val="24"/>
          <w:lang w:val="ky-KG"/>
        </w:rPr>
        <w:t>9</w:t>
      </w:r>
      <w:r w:rsidR="005E14FE" w:rsidRPr="003611B6">
        <w:rPr>
          <w:rFonts w:ascii="Times New Roman" w:hAnsi="Times New Roman" w:cs="Times New Roman"/>
          <w:bCs/>
          <w:sz w:val="24"/>
          <w:szCs w:val="24"/>
          <w:lang w:val="ky-KG"/>
        </w:rPr>
        <w:t xml:space="preserve">-жылга салыштырмалуу өсүш </w:t>
      </w:r>
      <w:r w:rsidR="00876B2E" w:rsidRPr="003611B6">
        <w:rPr>
          <w:rFonts w:ascii="Times New Roman" w:eastAsia="Times New Roman" w:hAnsi="Times New Roman" w:cs="Times New Roman"/>
          <w:sz w:val="24"/>
          <w:szCs w:val="24"/>
          <w:lang w:val="ky-KG" w:eastAsia="ru-RU"/>
        </w:rPr>
        <w:t>3 382,9</w:t>
      </w:r>
      <w:r w:rsidR="00876B2E" w:rsidRPr="003611B6">
        <w:rPr>
          <w:rFonts w:ascii="Times New Roman" w:eastAsia="Times New Roman" w:hAnsi="Times New Roman" w:cs="Times New Roman"/>
          <w:sz w:val="24"/>
          <w:szCs w:val="24"/>
          <w:lang w:eastAsia="ru-RU"/>
        </w:rPr>
        <w:t xml:space="preserve"> </w:t>
      </w:r>
      <w:r w:rsidR="003057A1" w:rsidRPr="003611B6">
        <w:rPr>
          <w:rFonts w:ascii="Times New Roman" w:hAnsi="Times New Roman" w:cs="Times New Roman"/>
          <w:sz w:val="24"/>
          <w:szCs w:val="24"/>
          <w:lang w:val="ky-KG"/>
        </w:rPr>
        <w:t xml:space="preserve">млн. сомду же </w:t>
      </w:r>
      <w:r w:rsidR="00876B2E" w:rsidRPr="003611B6">
        <w:rPr>
          <w:rFonts w:ascii="Times New Roman" w:eastAsia="Times New Roman" w:hAnsi="Times New Roman" w:cs="Times New Roman"/>
          <w:sz w:val="24"/>
          <w:szCs w:val="24"/>
          <w:lang w:eastAsia="ru-RU"/>
        </w:rPr>
        <w:t xml:space="preserve">106,3 </w:t>
      </w:r>
      <w:r w:rsidR="003057A1" w:rsidRPr="003611B6">
        <w:rPr>
          <w:rFonts w:ascii="Times New Roman" w:hAnsi="Times New Roman" w:cs="Times New Roman"/>
          <w:sz w:val="24"/>
          <w:szCs w:val="24"/>
          <w:lang w:val="ky-KG"/>
        </w:rPr>
        <w:t>%</w:t>
      </w:r>
      <w:r w:rsidR="005E14FE" w:rsidRPr="003611B6">
        <w:rPr>
          <w:rFonts w:ascii="Times New Roman" w:hAnsi="Times New Roman" w:cs="Times New Roman"/>
          <w:sz w:val="24"/>
          <w:szCs w:val="24"/>
          <w:lang w:val="ky-KG"/>
        </w:rPr>
        <w:t xml:space="preserve"> түздү.</w:t>
      </w:r>
    </w:p>
    <w:p w:rsidR="005E14FE" w:rsidRPr="003611B6" w:rsidRDefault="005E14FE" w:rsidP="00DB0DE1">
      <w:pPr>
        <w:spacing w:after="0" w:line="240" w:lineRule="auto"/>
        <w:ind w:firstLine="567"/>
        <w:jc w:val="both"/>
        <w:rPr>
          <w:rFonts w:ascii="Times New Roman" w:hAnsi="Times New Roman" w:cs="Times New Roman"/>
          <w:sz w:val="12"/>
          <w:szCs w:val="24"/>
          <w:lang w:val="ky-KG"/>
        </w:rPr>
      </w:pPr>
    </w:p>
    <w:p w:rsidR="00BF3B40" w:rsidRPr="003611B6" w:rsidRDefault="00C77673" w:rsidP="00DB0DE1">
      <w:pPr>
        <w:spacing w:after="0" w:line="240" w:lineRule="auto"/>
        <w:ind w:firstLine="567"/>
        <w:jc w:val="center"/>
        <w:rPr>
          <w:rFonts w:ascii="Times New Roman" w:hAnsi="Times New Roman" w:cs="Times New Roman"/>
          <w:b/>
          <w:sz w:val="24"/>
          <w:szCs w:val="24"/>
          <w:lang w:val="ky-KG"/>
        </w:rPr>
      </w:pPr>
      <w:r w:rsidRPr="003611B6">
        <w:rPr>
          <w:rFonts w:ascii="Times New Roman" w:hAnsi="Times New Roman" w:cs="Times New Roman"/>
          <w:b/>
          <w:sz w:val="24"/>
          <w:szCs w:val="24"/>
          <w:lang w:val="ky-KG"/>
        </w:rPr>
        <w:t>Камсыздандыруу төгүмдөрүн</w:t>
      </w:r>
      <w:r w:rsidR="00C667FA" w:rsidRPr="003611B6">
        <w:rPr>
          <w:rFonts w:ascii="Times New Roman" w:hAnsi="Times New Roman" w:cs="Times New Roman"/>
          <w:b/>
          <w:sz w:val="24"/>
          <w:szCs w:val="24"/>
          <w:lang w:val="ky-KG"/>
        </w:rPr>
        <w:t>үн</w:t>
      </w:r>
      <w:r w:rsidRPr="003611B6">
        <w:rPr>
          <w:rFonts w:ascii="Times New Roman" w:hAnsi="Times New Roman" w:cs="Times New Roman"/>
          <w:b/>
          <w:sz w:val="24"/>
          <w:szCs w:val="24"/>
          <w:lang w:val="ky-KG"/>
        </w:rPr>
        <w:t xml:space="preserve"> түшүшү</w:t>
      </w:r>
    </w:p>
    <w:p w:rsidR="00F656DA" w:rsidRPr="003611B6" w:rsidRDefault="00F656DA" w:rsidP="00DB0DE1">
      <w:pPr>
        <w:spacing w:after="0" w:line="240" w:lineRule="auto"/>
        <w:ind w:firstLine="567"/>
        <w:jc w:val="center"/>
        <w:rPr>
          <w:rFonts w:ascii="Times New Roman" w:hAnsi="Times New Roman" w:cs="Times New Roman"/>
          <w:b/>
          <w:sz w:val="12"/>
          <w:szCs w:val="24"/>
          <w:lang w:val="ky-KG"/>
        </w:rPr>
      </w:pPr>
    </w:p>
    <w:p w:rsidR="00EB7D9A" w:rsidRPr="003611B6" w:rsidRDefault="00C77673" w:rsidP="00DB0DE1">
      <w:pPr>
        <w:spacing w:after="0" w:line="240" w:lineRule="auto"/>
        <w:ind w:firstLine="708"/>
        <w:jc w:val="both"/>
        <w:rPr>
          <w:rFonts w:ascii="Times New Roman" w:hAnsi="Times New Roman" w:cs="Times New Roman"/>
          <w:sz w:val="24"/>
          <w:szCs w:val="24"/>
          <w:lang w:val="ky-KG"/>
        </w:rPr>
      </w:pPr>
      <w:r w:rsidRPr="003611B6">
        <w:rPr>
          <w:rFonts w:ascii="Times New Roman" w:hAnsi="Times New Roman" w:cs="Times New Roman"/>
          <w:bCs/>
          <w:sz w:val="24"/>
          <w:szCs w:val="24"/>
          <w:lang w:val="ky-KG"/>
        </w:rPr>
        <w:t>«Кыргыз Республикасынын Социалдык фондунун 20</w:t>
      </w:r>
      <w:r w:rsidR="005A6577" w:rsidRPr="003611B6">
        <w:rPr>
          <w:rFonts w:ascii="Times New Roman" w:hAnsi="Times New Roman" w:cs="Times New Roman"/>
          <w:bCs/>
          <w:sz w:val="24"/>
          <w:szCs w:val="24"/>
          <w:lang w:val="ky-KG"/>
        </w:rPr>
        <w:t>20</w:t>
      </w:r>
      <w:r w:rsidRPr="003611B6">
        <w:rPr>
          <w:rFonts w:ascii="Times New Roman" w:hAnsi="Times New Roman" w:cs="Times New Roman"/>
          <w:bCs/>
          <w:sz w:val="24"/>
          <w:szCs w:val="24"/>
          <w:lang w:val="ky-KG"/>
        </w:rPr>
        <w:t>-жылга бюджети жана 20</w:t>
      </w:r>
      <w:r w:rsidR="005A6577" w:rsidRPr="003611B6">
        <w:rPr>
          <w:rFonts w:ascii="Times New Roman" w:hAnsi="Times New Roman" w:cs="Times New Roman"/>
          <w:bCs/>
          <w:sz w:val="24"/>
          <w:szCs w:val="24"/>
          <w:lang w:val="ky-KG"/>
        </w:rPr>
        <w:t>21</w:t>
      </w:r>
      <w:r w:rsidRPr="003611B6">
        <w:rPr>
          <w:rFonts w:ascii="Times New Roman" w:hAnsi="Times New Roman" w:cs="Times New Roman"/>
          <w:bCs/>
          <w:sz w:val="24"/>
          <w:szCs w:val="24"/>
          <w:lang w:val="ky-KG"/>
        </w:rPr>
        <w:t>-202</w:t>
      </w:r>
      <w:r w:rsidR="005A6577" w:rsidRPr="003611B6">
        <w:rPr>
          <w:rFonts w:ascii="Times New Roman" w:hAnsi="Times New Roman" w:cs="Times New Roman"/>
          <w:bCs/>
          <w:sz w:val="24"/>
          <w:szCs w:val="24"/>
          <w:lang w:val="ky-KG"/>
        </w:rPr>
        <w:t>2</w:t>
      </w:r>
      <w:r w:rsidRPr="003611B6">
        <w:rPr>
          <w:rFonts w:ascii="Times New Roman" w:hAnsi="Times New Roman" w:cs="Times New Roman"/>
          <w:bCs/>
          <w:sz w:val="24"/>
          <w:szCs w:val="24"/>
          <w:lang w:val="ky-KG"/>
        </w:rPr>
        <w:t>-жылдарга божомолу жөнүндө</w:t>
      </w:r>
      <w:r w:rsidRPr="003611B6">
        <w:rPr>
          <w:rFonts w:ascii="Times New Roman" w:hAnsi="Times New Roman" w:cs="Times New Roman"/>
          <w:sz w:val="24"/>
          <w:szCs w:val="24"/>
          <w:lang w:val="ky-KG"/>
        </w:rPr>
        <w:t>»</w:t>
      </w:r>
      <w:r w:rsidRPr="003611B6">
        <w:rPr>
          <w:rFonts w:ascii="Times New Roman" w:hAnsi="Times New Roman" w:cs="Times New Roman"/>
          <w:bCs/>
          <w:sz w:val="24"/>
          <w:szCs w:val="24"/>
          <w:lang w:val="ky-KG"/>
        </w:rPr>
        <w:t xml:space="preserve"> Кыргыз Республикасынын Мыйзамында 20</w:t>
      </w:r>
      <w:r w:rsidR="005A6577" w:rsidRPr="003611B6">
        <w:rPr>
          <w:rFonts w:ascii="Times New Roman" w:hAnsi="Times New Roman" w:cs="Times New Roman"/>
          <w:bCs/>
          <w:sz w:val="24"/>
          <w:szCs w:val="24"/>
          <w:lang w:val="ky-KG"/>
        </w:rPr>
        <w:t>20</w:t>
      </w:r>
      <w:r w:rsidRPr="003611B6">
        <w:rPr>
          <w:rFonts w:ascii="Times New Roman" w:hAnsi="Times New Roman" w:cs="Times New Roman"/>
          <w:bCs/>
          <w:sz w:val="24"/>
          <w:szCs w:val="24"/>
          <w:lang w:val="ky-KG"/>
        </w:rPr>
        <w:t xml:space="preserve">-жылга </w:t>
      </w:r>
      <w:r w:rsidR="00C667FA" w:rsidRPr="003611B6">
        <w:rPr>
          <w:rFonts w:ascii="Times New Roman" w:hAnsi="Times New Roman" w:cs="Times New Roman"/>
          <w:bCs/>
          <w:sz w:val="24"/>
          <w:szCs w:val="24"/>
          <w:lang w:val="ky-KG"/>
        </w:rPr>
        <w:t xml:space="preserve">камсыздандыруу төгүмдөрү  </w:t>
      </w:r>
      <w:r w:rsidR="005A6577" w:rsidRPr="003611B6">
        <w:rPr>
          <w:rFonts w:ascii="Times New Roman" w:hAnsi="Times New Roman" w:cs="Times New Roman"/>
          <w:sz w:val="24"/>
          <w:szCs w:val="24"/>
        </w:rPr>
        <w:t xml:space="preserve">35 727,7 </w:t>
      </w:r>
      <w:r w:rsidR="00A04ACC" w:rsidRPr="003611B6">
        <w:rPr>
          <w:rFonts w:ascii="Times New Roman" w:hAnsi="Times New Roman" w:cs="Times New Roman"/>
          <w:sz w:val="24"/>
          <w:szCs w:val="24"/>
          <w:lang w:val="ky-KG"/>
        </w:rPr>
        <w:t>млн. сом суммасында бекитилген.</w:t>
      </w:r>
      <w:r w:rsidR="002F51B7" w:rsidRPr="003611B6">
        <w:rPr>
          <w:rFonts w:ascii="Times New Roman" w:hAnsi="Times New Roman" w:cs="Times New Roman"/>
          <w:sz w:val="24"/>
          <w:szCs w:val="24"/>
          <w:lang w:val="ky-KG"/>
        </w:rPr>
        <w:t xml:space="preserve"> </w:t>
      </w:r>
    </w:p>
    <w:p w:rsidR="00EB7D9A" w:rsidRPr="003611B6" w:rsidRDefault="002F51B7" w:rsidP="00DB0DE1">
      <w:pPr>
        <w:spacing w:after="0" w:line="240" w:lineRule="auto"/>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 xml:space="preserve">Социалдык фондго камсыздандыруу төгүмдөрүнүн түшүшүнүн көлөмү </w:t>
      </w:r>
      <w:r w:rsidR="003057A1" w:rsidRPr="003611B6">
        <w:rPr>
          <w:rFonts w:ascii="Times New Roman" w:hAnsi="Times New Roman" w:cs="Times New Roman"/>
          <w:sz w:val="24"/>
          <w:szCs w:val="24"/>
          <w:lang w:val="ky-KG"/>
        </w:rPr>
        <w:t xml:space="preserve">ИДП жана КБИ анык өсүшүнөн улам эсептелген </w:t>
      </w:r>
      <w:r w:rsidRPr="003611B6">
        <w:rPr>
          <w:rFonts w:ascii="Times New Roman" w:hAnsi="Times New Roman" w:cs="Times New Roman"/>
          <w:sz w:val="24"/>
          <w:szCs w:val="24"/>
          <w:lang w:val="ky-KG"/>
        </w:rPr>
        <w:t>камсыздандыруу төгүмдөрүнүн эмгек акы төлөө фондуна белгил</w:t>
      </w:r>
      <w:r w:rsidR="003057A1" w:rsidRPr="003611B6">
        <w:rPr>
          <w:rFonts w:ascii="Times New Roman" w:hAnsi="Times New Roman" w:cs="Times New Roman"/>
          <w:sz w:val="24"/>
          <w:szCs w:val="24"/>
          <w:lang w:val="ky-KG"/>
        </w:rPr>
        <w:t>енген камсыздандыруу тарифтерини</w:t>
      </w:r>
      <w:r w:rsidRPr="003611B6">
        <w:rPr>
          <w:rFonts w:ascii="Times New Roman" w:hAnsi="Times New Roman" w:cs="Times New Roman"/>
          <w:sz w:val="24"/>
          <w:szCs w:val="24"/>
          <w:lang w:val="ky-KG"/>
        </w:rPr>
        <w:t xml:space="preserve">н </w:t>
      </w:r>
      <w:r w:rsidR="003057A1" w:rsidRPr="003611B6">
        <w:rPr>
          <w:rFonts w:ascii="Times New Roman" w:hAnsi="Times New Roman" w:cs="Times New Roman"/>
          <w:sz w:val="24"/>
          <w:szCs w:val="24"/>
          <w:lang w:val="ky-KG"/>
        </w:rPr>
        <w:t>негизинде эсептелет</w:t>
      </w:r>
      <w:r w:rsidR="005E330A" w:rsidRPr="003611B6">
        <w:rPr>
          <w:rFonts w:ascii="Times New Roman" w:hAnsi="Times New Roman" w:cs="Times New Roman"/>
          <w:sz w:val="24"/>
          <w:szCs w:val="24"/>
          <w:lang w:val="ky-KG"/>
        </w:rPr>
        <w:t>.</w:t>
      </w:r>
    </w:p>
    <w:p w:rsidR="001C2F06" w:rsidRPr="003611B6" w:rsidRDefault="0061378B" w:rsidP="00DB0DE1">
      <w:pPr>
        <w:spacing w:after="0" w:line="240" w:lineRule="auto"/>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20</w:t>
      </w:r>
      <w:r w:rsidR="005A6577" w:rsidRPr="003611B6">
        <w:rPr>
          <w:rFonts w:ascii="Times New Roman" w:hAnsi="Times New Roman" w:cs="Times New Roman"/>
          <w:sz w:val="24"/>
          <w:szCs w:val="24"/>
          <w:lang w:val="ky-KG"/>
        </w:rPr>
        <w:t>2</w:t>
      </w:r>
      <w:r w:rsidRPr="003611B6">
        <w:rPr>
          <w:rFonts w:ascii="Times New Roman" w:hAnsi="Times New Roman" w:cs="Times New Roman"/>
          <w:sz w:val="24"/>
          <w:szCs w:val="24"/>
          <w:lang w:val="ky-KG"/>
        </w:rPr>
        <w:t>1-202</w:t>
      </w:r>
      <w:r w:rsidR="005A6577" w:rsidRPr="003611B6">
        <w:rPr>
          <w:rFonts w:ascii="Times New Roman" w:hAnsi="Times New Roman" w:cs="Times New Roman"/>
          <w:sz w:val="24"/>
          <w:szCs w:val="24"/>
          <w:lang w:val="ky-KG"/>
        </w:rPr>
        <w:t>3</w:t>
      </w:r>
      <w:r w:rsidRPr="003611B6">
        <w:rPr>
          <w:rFonts w:ascii="Times New Roman" w:hAnsi="Times New Roman" w:cs="Times New Roman"/>
          <w:sz w:val="24"/>
          <w:szCs w:val="24"/>
          <w:lang w:val="ky-KG"/>
        </w:rPr>
        <w:t xml:space="preserve">-жылдарга </w:t>
      </w:r>
      <w:r w:rsidR="00F039ED" w:rsidRPr="003611B6">
        <w:rPr>
          <w:rFonts w:ascii="Times New Roman" w:hAnsi="Times New Roman" w:cs="Times New Roman"/>
          <w:sz w:val="24"/>
          <w:szCs w:val="24"/>
          <w:lang w:val="ky-KG"/>
        </w:rPr>
        <w:t>Кыргыз Республикасын социалдык-экономикалык өнүктүр</w:t>
      </w:r>
      <w:r w:rsidR="00EA568E" w:rsidRPr="003611B6">
        <w:rPr>
          <w:rFonts w:ascii="Times New Roman" w:hAnsi="Times New Roman" w:cs="Times New Roman"/>
          <w:sz w:val="24"/>
          <w:szCs w:val="24"/>
          <w:lang w:val="ky-KG"/>
        </w:rPr>
        <w:t>ү</w:t>
      </w:r>
      <w:r w:rsidR="00F039ED" w:rsidRPr="003611B6">
        <w:rPr>
          <w:rFonts w:ascii="Times New Roman" w:hAnsi="Times New Roman" w:cs="Times New Roman"/>
          <w:sz w:val="24"/>
          <w:szCs w:val="24"/>
          <w:lang w:val="ky-KG"/>
        </w:rPr>
        <w:t>үнүн орто мөөнөттүү болжолунун макроэкономикалык көрсөткүчтөрүнө ылайык</w:t>
      </w:r>
      <w:r w:rsidR="00CE5056" w:rsidRPr="003611B6">
        <w:rPr>
          <w:rFonts w:ascii="Times New Roman" w:hAnsi="Times New Roman" w:cs="Times New Roman"/>
          <w:sz w:val="24"/>
          <w:szCs w:val="24"/>
          <w:lang w:val="ky-KG"/>
        </w:rPr>
        <w:t>,</w:t>
      </w:r>
      <w:r w:rsidR="00F039ED" w:rsidRPr="003611B6">
        <w:rPr>
          <w:rFonts w:ascii="Times New Roman" w:hAnsi="Times New Roman" w:cs="Times New Roman"/>
          <w:sz w:val="24"/>
          <w:szCs w:val="24"/>
          <w:lang w:val="ky-KG"/>
        </w:rPr>
        <w:t xml:space="preserve"> 20</w:t>
      </w:r>
      <w:r w:rsidR="005A6577" w:rsidRPr="003611B6">
        <w:rPr>
          <w:rFonts w:ascii="Times New Roman" w:hAnsi="Times New Roman" w:cs="Times New Roman"/>
          <w:sz w:val="24"/>
          <w:szCs w:val="24"/>
          <w:lang w:val="ky-KG"/>
        </w:rPr>
        <w:t>20</w:t>
      </w:r>
      <w:r w:rsidR="003057A1" w:rsidRPr="003611B6">
        <w:rPr>
          <w:rFonts w:ascii="Times New Roman" w:hAnsi="Times New Roman" w:cs="Times New Roman"/>
          <w:sz w:val="24"/>
          <w:szCs w:val="24"/>
          <w:lang w:val="ky-KG"/>
        </w:rPr>
        <w:t xml:space="preserve">-жылга ИДП анык өсүшү </w:t>
      </w:r>
      <w:r w:rsidR="005A6577" w:rsidRPr="003611B6">
        <w:rPr>
          <w:rFonts w:ascii="Times New Roman" w:hAnsi="Times New Roman" w:cs="Times New Roman"/>
          <w:sz w:val="24"/>
          <w:szCs w:val="24"/>
          <w:lang w:val="ky-KG"/>
        </w:rPr>
        <w:t>94,7</w:t>
      </w:r>
      <w:r w:rsidR="00F039ED" w:rsidRPr="003611B6">
        <w:rPr>
          <w:rFonts w:ascii="Times New Roman" w:hAnsi="Times New Roman" w:cs="Times New Roman"/>
          <w:sz w:val="24"/>
          <w:szCs w:val="24"/>
          <w:lang w:val="ky-KG"/>
        </w:rPr>
        <w:t xml:space="preserve">% жана өткөн жылга КБИ </w:t>
      </w:r>
      <w:r w:rsidR="005A6577" w:rsidRPr="003611B6">
        <w:rPr>
          <w:rFonts w:ascii="Times New Roman" w:hAnsi="Times New Roman" w:cs="Times New Roman"/>
          <w:sz w:val="24"/>
          <w:szCs w:val="24"/>
          <w:lang w:val="ky-KG"/>
        </w:rPr>
        <w:t>106,0</w:t>
      </w:r>
      <w:r w:rsidR="00F039ED" w:rsidRPr="003611B6">
        <w:rPr>
          <w:rFonts w:ascii="Times New Roman" w:hAnsi="Times New Roman" w:cs="Times New Roman"/>
          <w:sz w:val="24"/>
          <w:szCs w:val="24"/>
          <w:lang w:val="ky-KG"/>
        </w:rPr>
        <w:t xml:space="preserve">% болжолдонууда, </w:t>
      </w:r>
      <w:r w:rsidR="00CE5056" w:rsidRPr="003611B6">
        <w:rPr>
          <w:rFonts w:ascii="Times New Roman" w:hAnsi="Times New Roman" w:cs="Times New Roman"/>
          <w:sz w:val="24"/>
          <w:szCs w:val="24"/>
          <w:lang w:val="ky-KG"/>
        </w:rPr>
        <w:t>б</w:t>
      </w:r>
      <w:r w:rsidR="00F039ED" w:rsidRPr="003611B6">
        <w:rPr>
          <w:rFonts w:ascii="Times New Roman" w:hAnsi="Times New Roman" w:cs="Times New Roman"/>
          <w:sz w:val="24"/>
          <w:szCs w:val="24"/>
          <w:lang w:val="ky-KG"/>
        </w:rPr>
        <w:t xml:space="preserve">.а. </w:t>
      </w:r>
      <w:r w:rsidR="00DE2A4A" w:rsidRPr="003611B6">
        <w:rPr>
          <w:rFonts w:ascii="Times New Roman" w:hAnsi="Times New Roman" w:cs="Times New Roman"/>
          <w:sz w:val="24"/>
          <w:szCs w:val="24"/>
          <w:lang w:val="ky-KG"/>
        </w:rPr>
        <w:t>20</w:t>
      </w:r>
      <w:r w:rsidR="005A6577" w:rsidRPr="003611B6">
        <w:rPr>
          <w:rFonts w:ascii="Times New Roman" w:hAnsi="Times New Roman" w:cs="Times New Roman"/>
          <w:sz w:val="24"/>
          <w:szCs w:val="24"/>
          <w:lang w:val="ky-KG"/>
        </w:rPr>
        <w:t>20</w:t>
      </w:r>
      <w:r w:rsidR="00DE2A4A" w:rsidRPr="003611B6">
        <w:rPr>
          <w:rFonts w:ascii="Times New Roman" w:hAnsi="Times New Roman" w:cs="Times New Roman"/>
          <w:sz w:val="24"/>
          <w:szCs w:val="24"/>
          <w:lang w:val="ky-KG"/>
        </w:rPr>
        <w:t xml:space="preserve">-жылга эмгек акы төлөө фондунун өсүшүнүн божомолу </w:t>
      </w:r>
      <w:r w:rsidR="00F039ED" w:rsidRPr="003611B6">
        <w:rPr>
          <w:rFonts w:ascii="Times New Roman" w:hAnsi="Times New Roman" w:cs="Times New Roman"/>
          <w:sz w:val="24"/>
          <w:szCs w:val="24"/>
          <w:lang w:val="ky-KG"/>
        </w:rPr>
        <w:t>(Э</w:t>
      </w:r>
      <w:r w:rsidR="00C667FA" w:rsidRPr="003611B6">
        <w:rPr>
          <w:rFonts w:ascii="Times New Roman" w:hAnsi="Times New Roman" w:cs="Times New Roman"/>
          <w:sz w:val="24"/>
          <w:szCs w:val="24"/>
          <w:lang w:val="ky-KG"/>
        </w:rPr>
        <w:t>Т</w:t>
      </w:r>
      <w:r w:rsidR="00F039ED" w:rsidRPr="003611B6">
        <w:rPr>
          <w:rFonts w:ascii="Times New Roman" w:hAnsi="Times New Roman" w:cs="Times New Roman"/>
          <w:sz w:val="24"/>
          <w:szCs w:val="24"/>
          <w:lang w:val="ky-KG"/>
        </w:rPr>
        <w:t>Ф)</w:t>
      </w:r>
      <w:r w:rsidR="00DE2A4A" w:rsidRPr="003611B6">
        <w:rPr>
          <w:rFonts w:ascii="Times New Roman" w:hAnsi="Times New Roman" w:cs="Times New Roman"/>
          <w:sz w:val="24"/>
          <w:szCs w:val="24"/>
          <w:lang w:val="ky-KG"/>
        </w:rPr>
        <w:t xml:space="preserve"> </w:t>
      </w:r>
      <w:r w:rsidR="005A6577" w:rsidRPr="003611B6">
        <w:rPr>
          <w:rFonts w:ascii="Times New Roman" w:hAnsi="Times New Roman" w:cs="Times New Roman"/>
          <w:sz w:val="24"/>
          <w:szCs w:val="24"/>
          <w:lang w:val="ky-KG"/>
        </w:rPr>
        <w:t>103,1</w:t>
      </w:r>
      <w:r w:rsidR="00DE2A4A" w:rsidRPr="003611B6">
        <w:rPr>
          <w:rFonts w:ascii="Times New Roman" w:hAnsi="Times New Roman" w:cs="Times New Roman"/>
          <w:sz w:val="24"/>
          <w:szCs w:val="24"/>
          <w:lang w:val="ky-KG"/>
        </w:rPr>
        <w:t xml:space="preserve">% түзөт. </w:t>
      </w:r>
    </w:p>
    <w:tbl>
      <w:tblPr>
        <w:tblStyle w:val="a4"/>
        <w:tblW w:w="0" w:type="auto"/>
        <w:tblInd w:w="959" w:type="dxa"/>
        <w:tblLook w:val="04A0" w:firstRow="1" w:lastRow="0" w:firstColumn="1" w:lastColumn="0" w:noHBand="0" w:noVBand="1"/>
      </w:tblPr>
      <w:tblGrid>
        <w:gridCol w:w="3544"/>
        <w:gridCol w:w="2551"/>
        <w:gridCol w:w="2066"/>
      </w:tblGrid>
      <w:tr w:rsidR="003611B6" w:rsidRPr="003611B6" w:rsidTr="005A6577">
        <w:trPr>
          <w:trHeight w:val="175"/>
        </w:trPr>
        <w:tc>
          <w:tcPr>
            <w:tcW w:w="3544" w:type="dxa"/>
            <w:tcBorders>
              <w:top w:val="single" w:sz="4" w:space="0" w:color="auto"/>
              <w:left w:val="single" w:sz="4" w:space="0" w:color="auto"/>
              <w:bottom w:val="single" w:sz="4" w:space="0" w:color="auto"/>
              <w:right w:val="single" w:sz="4" w:space="0" w:color="auto"/>
            </w:tcBorders>
          </w:tcPr>
          <w:p w:rsidR="005A6577" w:rsidRPr="003611B6" w:rsidRDefault="005A6577" w:rsidP="00DB0DE1">
            <w:pPr>
              <w:spacing w:after="0" w:line="240" w:lineRule="auto"/>
              <w:jc w:val="both"/>
              <w:rPr>
                <w:rFonts w:ascii="Times New Roman" w:hAnsi="Times New Roman" w:cs="Times New Roman"/>
                <w:sz w:val="20"/>
                <w:szCs w:val="24"/>
                <w:lang w:val="ky-KG"/>
              </w:rPr>
            </w:pPr>
          </w:p>
        </w:tc>
        <w:tc>
          <w:tcPr>
            <w:tcW w:w="2551" w:type="dxa"/>
            <w:tcBorders>
              <w:top w:val="single" w:sz="4" w:space="0" w:color="auto"/>
              <w:left w:val="single" w:sz="4" w:space="0" w:color="auto"/>
              <w:bottom w:val="single" w:sz="4" w:space="0" w:color="auto"/>
              <w:right w:val="single" w:sz="4" w:space="0" w:color="auto"/>
            </w:tcBorders>
          </w:tcPr>
          <w:p w:rsidR="005A6577" w:rsidRPr="003611B6" w:rsidRDefault="005A6577" w:rsidP="005A6577">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 xml:space="preserve">2019-ж. </w:t>
            </w:r>
          </w:p>
        </w:tc>
        <w:tc>
          <w:tcPr>
            <w:tcW w:w="2066" w:type="dxa"/>
            <w:tcBorders>
              <w:top w:val="single" w:sz="4" w:space="0" w:color="auto"/>
              <w:left w:val="single" w:sz="4" w:space="0" w:color="auto"/>
              <w:bottom w:val="single" w:sz="4" w:space="0" w:color="auto"/>
              <w:right w:val="single" w:sz="4" w:space="0" w:color="auto"/>
            </w:tcBorders>
          </w:tcPr>
          <w:p w:rsidR="005A6577" w:rsidRPr="003611B6" w:rsidRDefault="005A6577" w:rsidP="005A6577">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2018-ж. (күтүлүүдө)</w:t>
            </w:r>
          </w:p>
        </w:tc>
      </w:tr>
      <w:tr w:rsidR="003611B6" w:rsidRPr="003611B6" w:rsidTr="005A6577">
        <w:tc>
          <w:tcPr>
            <w:tcW w:w="3544" w:type="dxa"/>
            <w:tcBorders>
              <w:top w:val="single" w:sz="4" w:space="0" w:color="auto"/>
              <w:left w:val="single" w:sz="4" w:space="0" w:color="auto"/>
              <w:bottom w:val="single" w:sz="4" w:space="0" w:color="auto"/>
              <w:right w:val="single" w:sz="4" w:space="0" w:color="auto"/>
            </w:tcBorders>
            <w:hideMark/>
          </w:tcPr>
          <w:p w:rsidR="005A6577" w:rsidRPr="003611B6" w:rsidRDefault="005A6577"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ИДП анык өсүшүнүн темпи  %да</w:t>
            </w:r>
          </w:p>
        </w:tc>
        <w:tc>
          <w:tcPr>
            <w:tcW w:w="2551" w:type="dxa"/>
            <w:tcBorders>
              <w:top w:val="single" w:sz="4" w:space="0" w:color="auto"/>
              <w:left w:val="single" w:sz="4" w:space="0" w:color="auto"/>
              <w:bottom w:val="single" w:sz="4" w:space="0" w:color="auto"/>
              <w:right w:val="single" w:sz="4" w:space="0" w:color="auto"/>
            </w:tcBorders>
          </w:tcPr>
          <w:p w:rsidR="005A6577" w:rsidRPr="003611B6" w:rsidRDefault="005A6577" w:rsidP="00DB0DE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104,5</w:t>
            </w:r>
          </w:p>
        </w:tc>
        <w:tc>
          <w:tcPr>
            <w:tcW w:w="2066" w:type="dxa"/>
            <w:tcBorders>
              <w:top w:val="single" w:sz="4" w:space="0" w:color="auto"/>
              <w:left w:val="single" w:sz="4" w:space="0" w:color="auto"/>
              <w:bottom w:val="single" w:sz="4" w:space="0" w:color="auto"/>
              <w:right w:val="single" w:sz="4" w:space="0" w:color="auto"/>
            </w:tcBorders>
          </w:tcPr>
          <w:p w:rsidR="005A6577" w:rsidRPr="003611B6" w:rsidRDefault="005A6577" w:rsidP="005A6577">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94,7</w:t>
            </w:r>
          </w:p>
        </w:tc>
      </w:tr>
      <w:tr w:rsidR="003611B6" w:rsidRPr="003611B6" w:rsidTr="005A6577">
        <w:tc>
          <w:tcPr>
            <w:tcW w:w="3544" w:type="dxa"/>
            <w:tcBorders>
              <w:top w:val="single" w:sz="4" w:space="0" w:color="auto"/>
              <w:left w:val="single" w:sz="4" w:space="0" w:color="auto"/>
              <w:bottom w:val="single" w:sz="4" w:space="0" w:color="auto"/>
              <w:right w:val="single" w:sz="4" w:space="0" w:color="auto"/>
            </w:tcBorders>
            <w:hideMark/>
          </w:tcPr>
          <w:p w:rsidR="005A6577" w:rsidRPr="003611B6" w:rsidRDefault="005A6577"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Өткөн жылга КБИ  %да</w:t>
            </w:r>
          </w:p>
        </w:tc>
        <w:tc>
          <w:tcPr>
            <w:tcW w:w="2551" w:type="dxa"/>
            <w:tcBorders>
              <w:top w:val="single" w:sz="4" w:space="0" w:color="auto"/>
              <w:left w:val="single" w:sz="4" w:space="0" w:color="auto"/>
              <w:bottom w:val="single" w:sz="4" w:space="0" w:color="auto"/>
              <w:right w:val="single" w:sz="4" w:space="0" w:color="auto"/>
            </w:tcBorders>
          </w:tcPr>
          <w:p w:rsidR="005A6577" w:rsidRPr="003611B6" w:rsidRDefault="005A6577" w:rsidP="00DB0DE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101,1</w:t>
            </w:r>
          </w:p>
        </w:tc>
        <w:tc>
          <w:tcPr>
            <w:tcW w:w="2066" w:type="dxa"/>
            <w:tcBorders>
              <w:top w:val="single" w:sz="4" w:space="0" w:color="auto"/>
              <w:left w:val="single" w:sz="4" w:space="0" w:color="auto"/>
              <w:bottom w:val="single" w:sz="4" w:space="0" w:color="auto"/>
              <w:right w:val="single" w:sz="4" w:space="0" w:color="auto"/>
            </w:tcBorders>
          </w:tcPr>
          <w:p w:rsidR="005A6577" w:rsidRPr="003611B6" w:rsidRDefault="005A6577" w:rsidP="005A6577">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106,0</w:t>
            </w:r>
          </w:p>
        </w:tc>
      </w:tr>
      <w:tr w:rsidR="003611B6" w:rsidRPr="003611B6" w:rsidTr="005A6577">
        <w:tc>
          <w:tcPr>
            <w:tcW w:w="3544" w:type="dxa"/>
            <w:tcBorders>
              <w:top w:val="single" w:sz="4" w:space="0" w:color="auto"/>
              <w:left w:val="single" w:sz="4" w:space="0" w:color="auto"/>
              <w:bottom w:val="single" w:sz="4" w:space="0" w:color="auto"/>
              <w:right w:val="single" w:sz="4" w:space="0" w:color="auto"/>
            </w:tcBorders>
            <w:hideMark/>
          </w:tcPr>
          <w:p w:rsidR="005A6577" w:rsidRPr="003611B6" w:rsidRDefault="005A6577"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ЭТФ өсүшү %да</w:t>
            </w:r>
          </w:p>
        </w:tc>
        <w:tc>
          <w:tcPr>
            <w:tcW w:w="2551" w:type="dxa"/>
            <w:tcBorders>
              <w:top w:val="single" w:sz="4" w:space="0" w:color="auto"/>
              <w:left w:val="single" w:sz="4" w:space="0" w:color="auto"/>
              <w:bottom w:val="single" w:sz="4" w:space="0" w:color="auto"/>
              <w:right w:val="single" w:sz="4" w:space="0" w:color="auto"/>
            </w:tcBorders>
          </w:tcPr>
          <w:p w:rsidR="005A6577" w:rsidRPr="003611B6" w:rsidRDefault="005A6577" w:rsidP="00DB0DE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100,7</w:t>
            </w:r>
          </w:p>
        </w:tc>
        <w:tc>
          <w:tcPr>
            <w:tcW w:w="2066" w:type="dxa"/>
            <w:tcBorders>
              <w:top w:val="single" w:sz="4" w:space="0" w:color="auto"/>
              <w:left w:val="single" w:sz="4" w:space="0" w:color="auto"/>
              <w:bottom w:val="single" w:sz="4" w:space="0" w:color="auto"/>
              <w:right w:val="single" w:sz="4" w:space="0" w:color="auto"/>
            </w:tcBorders>
          </w:tcPr>
          <w:p w:rsidR="005A6577" w:rsidRPr="003611B6" w:rsidRDefault="005A6577" w:rsidP="005A6577">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103,1</w:t>
            </w:r>
          </w:p>
        </w:tc>
      </w:tr>
    </w:tbl>
    <w:p w:rsidR="00BF3B40" w:rsidRPr="003611B6" w:rsidRDefault="00BF3B40" w:rsidP="00DB0DE1">
      <w:pPr>
        <w:spacing w:after="0" w:line="240" w:lineRule="auto"/>
        <w:ind w:firstLine="708"/>
        <w:jc w:val="both"/>
        <w:rPr>
          <w:rFonts w:ascii="Times New Roman" w:hAnsi="Times New Roman" w:cs="Times New Roman"/>
          <w:sz w:val="12"/>
          <w:szCs w:val="24"/>
          <w:lang w:val="ky-KG"/>
        </w:rPr>
      </w:pPr>
    </w:p>
    <w:p w:rsidR="005A6577" w:rsidRPr="003611B6" w:rsidRDefault="006B66E3" w:rsidP="005A6577">
      <w:pPr>
        <w:spacing w:after="0" w:line="240" w:lineRule="auto"/>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Ошондой эле</w:t>
      </w:r>
      <w:r w:rsidR="005A6577" w:rsidRPr="003611B6">
        <w:rPr>
          <w:rFonts w:ascii="Times New Roman" w:hAnsi="Times New Roman" w:cs="Times New Roman"/>
          <w:sz w:val="24"/>
          <w:szCs w:val="24"/>
          <w:lang w:val="ky-KG"/>
        </w:rPr>
        <w:t xml:space="preserve">, Кыргыз Республикасынын аймагында 2020-жылдын 22-мартынан тартып өзгөчө кырдаал режими киргизилгендигине байланыштуу (Кыргыз Республикасынын Өкмөтүнүн </w:t>
      </w:r>
      <w:r w:rsidRPr="003611B6">
        <w:rPr>
          <w:rFonts w:ascii="Times New Roman" w:hAnsi="Times New Roman" w:cs="Times New Roman"/>
          <w:sz w:val="24"/>
          <w:szCs w:val="24"/>
          <w:lang w:val="ky-KG"/>
        </w:rPr>
        <w:t>2020-жылдын 22-мартындагы № 93-</w:t>
      </w:r>
      <w:r w:rsidR="005A6577" w:rsidRPr="003611B6">
        <w:rPr>
          <w:rFonts w:ascii="Times New Roman" w:hAnsi="Times New Roman" w:cs="Times New Roman"/>
          <w:sz w:val="24"/>
          <w:szCs w:val="24"/>
          <w:lang w:val="ky-KG"/>
        </w:rPr>
        <w:t>буйругу), Кыргыз Республикасынын Өкмөтүнө караштуу Мамлекеттик салык кызматынын алдын-ала маалыматтарына ылайык, камсыз</w:t>
      </w:r>
      <w:r w:rsidRPr="003611B6">
        <w:rPr>
          <w:rFonts w:ascii="Times New Roman" w:hAnsi="Times New Roman" w:cs="Times New Roman"/>
          <w:sz w:val="24"/>
          <w:szCs w:val="24"/>
          <w:lang w:val="ky-KG"/>
        </w:rPr>
        <w:t>дандыруу төгүмдөрүн албаса дагы тобокелдиктер пайда болот.</w:t>
      </w:r>
      <w:r w:rsidR="005A6577" w:rsidRPr="003611B6">
        <w:rPr>
          <w:rFonts w:ascii="Times New Roman" w:hAnsi="Times New Roman" w:cs="Times New Roman"/>
          <w:sz w:val="24"/>
          <w:szCs w:val="24"/>
          <w:lang w:val="ky-KG"/>
        </w:rPr>
        <w:t xml:space="preserve"> </w:t>
      </w:r>
    </w:p>
    <w:p w:rsidR="002B4DEA" w:rsidRPr="003611B6" w:rsidRDefault="002B4DEA" w:rsidP="00DB0DE1">
      <w:pPr>
        <w:pStyle w:val="2"/>
        <w:spacing w:after="0" w:line="240" w:lineRule="auto"/>
        <w:ind w:left="0" w:firstLine="567"/>
        <w:jc w:val="both"/>
        <w:rPr>
          <w:rFonts w:ascii="Times New Roman" w:hAnsi="Times New Roman" w:cs="Times New Roman"/>
          <w:bCs/>
          <w:sz w:val="24"/>
          <w:szCs w:val="24"/>
          <w:lang w:val="ky-KG"/>
        </w:rPr>
      </w:pPr>
      <w:r w:rsidRPr="003611B6">
        <w:rPr>
          <w:rFonts w:ascii="Times New Roman" w:hAnsi="Times New Roman" w:cs="Times New Roman"/>
          <w:bCs/>
          <w:sz w:val="24"/>
          <w:szCs w:val="24"/>
          <w:lang w:val="ky-KG"/>
        </w:rPr>
        <w:t>20</w:t>
      </w:r>
      <w:r w:rsidR="0057629A" w:rsidRPr="003611B6">
        <w:rPr>
          <w:rFonts w:ascii="Times New Roman" w:hAnsi="Times New Roman" w:cs="Times New Roman"/>
          <w:bCs/>
          <w:sz w:val="24"/>
          <w:szCs w:val="24"/>
          <w:lang w:val="ky-KG"/>
        </w:rPr>
        <w:t>20</w:t>
      </w:r>
      <w:r w:rsidRPr="003611B6">
        <w:rPr>
          <w:rFonts w:ascii="Times New Roman" w:hAnsi="Times New Roman" w:cs="Times New Roman"/>
          <w:bCs/>
          <w:sz w:val="24"/>
          <w:szCs w:val="24"/>
          <w:lang w:val="ky-KG"/>
        </w:rPr>
        <w:t xml:space="preserve">-жылы камсыздандыруу төгүмдөрүнүн такталган түшүшү </w:t>
      </w:r>
      <w:r w:rsidR="00EC53BF" w:rsidRPr="003611B6">
        <w:rPr>
          <w:rFonts w:ascii="Times New Roman" w:eastAsia="Times New Roman" w:hAnsi="Times New Roman" w:cs="Times New Roman"/>
          <w:sz w:val="24"/>
          <w:szCs w:val="24"/>
          <w:lang w:eastAsia="ru-RU"/>
        </w:rPr>
        <w:t>34 183,9</w:t>
      </w:r>
      <w:r w:rsidRPr="003611B6">
        <w:rPr>
          <w:rFonts w:ascii="Times New Roman" w:eastAsia="Times New Roman" w:hAnsi="Times New Roman" w:cs="Times New Roman"/>
          <w:sz w:val="24"/>
          <w:szCs w:val="24"/>
          <w:lang w:val="ky-KG" w:eastAsia="ru-RU"/>
        </w:rPr>
        <w:t xml:space="preserve"> млн. сом суммасында же </w:t>
      </w:r>
      <w:r w:rsidRPr="003611B6">
        <w:rPr>
          <w:rFonts w:ascii="Times New Roman" w:hAnsi="Times New Roman" w:cs="Times New Roman"/>
          <w:bCs/>
          <w:sz w:val="24"/>
          <w:szCs w:val="24"/>
          <w:lang w:val="ky-KG"/>
        </w:rPr>
        <w:t>бекитилген</w:t>
      </w:r>
      <w:r w:rsidR="00C667FA" w:rsidRPr="003611B6">
        <w:rPr>
          <w:rFonts w:ascii="Times New Roman" w:eastAsia="Times New Roman" w:hAnsi="Times New Roman" w:cs="Times New Roman"/>
          <w:sz w:val="24"/>
          <w:szCs w:val="24"/>
          <w:lang w:val="ky-KG" w:eastAsia="ru-RU"/>
        </w:rPr>
        <w:t xml:space="preserve"> бюджеттен</w:t>
      </w:r>
      <w:r w:rsidRPr="003611B6">
        <w:rPr>
          <w:rFonts w:ascii="Times New Roman" w:eastAsia="Times New Roman" w:hAnsi="Times New Roman" w:cs="Times New Roman"/>
          <w:sz w:val="24"/>
          <w:szCs w:val="24"/>
          <w:lang w:val="ky-KG" w:eastAsia="ru-RU"/>
        </w:rPr>
        <w:t xml:space="preserve"> </w:t>
      </w:r>
      <w:r w:rsidR="00EC53BF" w:rsidRPr="003611B6">
        <w:rPr>
          <w:rFonts w:ascii="Times New Roman" w:eastAsia="Times New Roman" w:hAnsi="Times New Roman" w:cs="Times New Roman"/>
          <w:sz w:val="24"/>
          <w:szCs w:val="24"/>
          <w:lang w:eastAsia="ru-RU"/>
        </w:rPr>
        <w:t xml:space="preserve">1 543,8 </w:t>
      </w:r>
      <w:r w:rsidRPr="003611B6">
        <w:rPr>
          <w:rFonts w:ascii="Times New Roman" w:eastAsia="Times New Roman" w:hAnsi="Times New Roman" w:cs="Times New Roman"/>
          <w:sz w:val="24"/>
          <w:szCs w:val="24"/>
          <w:lang w:val="ky-KG" w:eastAsia="ru-RU"/>
        </w:rPr>
        <w:t xml:space="preserve">млн. сомго </w:t>
      </w:r>
      <w:r w:rsidR="00EC53BF" w:rsidRPr="003611B6">
        <w:rPr>
          <w:rFonts w:ascii="Times New Roman" w:eastAsia="Times New Roman" w:hAnsi="Times New Roman" w:cs="Times New Roman"/>
          <w:sz w:val="24"/>
          <w:szCs w:val="24"/>
          <w:lang w:val="ky-KG" w:eastAsia="ru-RU"/>
        </w:rPr>
        <w:t>аз</w:t>
      </w:r>
      <w:r w:rsidRPr="003611B6">
        <w:rPr>
          <w:rFonts w:ascii="Times New Roman" w:eastAsia="Times New Roman" w:hAnsi="Times New Roman" w:cs="Times New Roman"/>
          <w:sz w:val="24"/>
          <w:szCs w:val="24"/>
          <w:lang w:val="ky-KG" w:eastAsia="ru-RU"/>
        </w:rPr>
        <w:t xml:space="preserve">, </w:t>
      </w:r>
      <w:r w:rsidRPr="003611B6">
        <w:rPr>
          <w:rFonts w:ascii="Times New Roman" w:hAnsi="Times New Roman" w:cs="Times New Roman"/>
          <w:bCs/>
          <w:sz w:val="24"/>
          <w:szCs w:val="24"/>
          <w:lang w:val="ky-KG"/>
        </w:rPr>
        <w:t>201</w:t>
      </w:r>
      <w:r w:rsidR="00EC53BF" w:rsidRPr="003611B6">
        <w:rPr>
          <w:rFonts w:ascii="Times New Roman" w:hAnsi="Times New Roman" w:cs="Times New Roman"/>
          <w:bCs/>
          <w:sz w:val="24"/>
          <w:szCs w:val="24"/>
          <w:lang w:val="ky-KG"/>
        </w:rPr>
        <w:t>9</w:t>
      </w:r>
      <w:r w:rsidRPr="003611B6">
        <w:rPr>
          <w:rFonts w:ascii="Times New Roman" w:hAnsi="Times New Roman" w:cs="Times New Roman"/>
          <w:bCs/>
          <w:sz w:val="24"/>
          <w:szCs w:val="24"/>
          <w:lang w:val="ky-KG"/>
        </w:rPr>
        <w:t>-жылга салыштырмалуу</w:t>
      </w:r>
      <w:r w:rsidRPr="003611B6">
        <w:rPr>
          <w:rFonts w:ascii="Times New Roman" w:eastAsia="Times New Roman" w:hAnsi="Times New Roman" w:cs="Times New Roman"/>
          <w:sz w:val="24"/>
          <w:szCs w:val="24"/>
          <w:lang w:val="ky-KG" w:eastAsia="ru-RU"/>
        </w:rPr>
        <w:t xml:space="preserve"> </w:t>
      </w:r>
      <w:r w:rsidR="00EC53BF" w:rsidRPr="003611B6">
        <w:rPr>
          <w:rFonts w:ascii="Times New Roman" w:eastAsia="Times New Roman" w:hAnsi="Times New Roman" w:cs="Times New Roman"/>
          <w:sz w:val="24"/>
          <w:szCs w:val="24"/>
          <w:lang w:eastAsia="ru-RU"/>
        </w:rPr>
        <w:t xml:space="preserve">1 784,5 </w:t>
      </w:r>
      <w:r w:rsidRPr="003611B6">
        <w:rPr>
          <w:rFonts w:ascii="Times New Roman" w:eastAsia="Times New Roman" w:hAnsi="Times New Roman" w:cs="Times New Roman"/>
          <w:sz w:val="24"/>
          <w:szCs w:val="24"/>
          <w:lang w:val="ky-KG" w:eastAsia="ru-RU"/>
        </w:rPr>
        <w:t>млн. сом</w:t>
      </w:r>
      <w:r w:rsidR="004E7580" w:rsidRPr="003611B6">
        <w:rPr>
          <w:rFonts w:ascii="Times New Roman" w:eastAsia="Times New Roman" w:hAnsi="Times New Roman" w:cs="Times New Roman"/>
          <w:sz w:val="24"/>
          <w:szCs w:val="24"/>
          <w:lang w:val="ky-KG" w:eastAsia="ru-RU"/>
        </w:rPr>
        <w:t xml:space="preserve">го </w:t>
      </w:r>
      <w:r w:rsidR="00EC53BF" w:rsidRPr="003611B6">
        <w:rPr>
          <w:rFonts w:ascii="Times New Roman" w:eastAsia="Times New Roman" w:hAnsi="Times New Roman" w:cs="Times New Roman"/>
          <w:sz w:val="24"/>
          <w:szCs w:val="24"/>
          <w:lang w:val="ky-KG" w:eastAsia="ru-RU"/>
        </w:rPr>
        <w:t>аз</w:t>
      </w:r>
      <w:r w:rsidRPr="003611B6">
        <w:rPr>
          <w:rFonts w:ascii="Times New Roman" w:eastAsia="Times New Roman" w:hAnsi="Times New Roman" w:cs="Times New Roman"/>
          <w:sz w:val="24"/>
          <w:szCs w:val="24"/>
          <w:lang w:val="ky-KG" w:eastAsia="ru-RU"/>
        </w:rPr>
        <w:t>.</w:t>
      </w:r>
      <w:r w:rsidRPr="003611B6">
        <w:rPr>
          <w:rFonts w:ascii="Times New Roman" w:hAnsi="Times New Roman" w:cs="Times New Roman"/>
          <w:bCs/>
          <w:sz w:val="24"/>
          <w:szCs w:val="24"/>
          <w:lang w:val="ky-KG"/>
        </w:rPr>
        <w:t xml:space="preserve"> </w:t>
      </w:r>
    </w:p>
    <w:p w:rsidR="00FD0A05" w:rsidRDefault="004E7580" w:rsidP="00EC53BF">
      <w:pPr>
        <w:spacing w:after="0" w:line="240" w:lineRule="auto"/>
        <w:ind w:firstLine="708"/>
        <w:jc w:val="both"/>
        <w:rPr>
          <w:rFonts w:ascii="Times New Roman" w:hAnsi="Times New Roman" w:cs="Times New Roman"/>
          <w:b/>
          <w:sz w:val="24"/>
          <w:szCs w:val="24"/>
          <w:lang w:val="ky-KG"/>
        </w:rPr>
      </w:pPr>
      <w:r w:rsidRPr="003611B6">
        <w:rPr>
          <w:rFonts w:ascii="Times New Roman" w:eastAsia="Times New Roman" w:hAnsi="Times New Roman" w:cs="Times New Roman"/>
          <w:sz w:val="24"/>
          <w:szCs w:val="24"/>
          <w:lang w:val="ky-KG" w:eastAsia="ru-RU"/>
        </w:rPr>
        <w:t xml:space="preserve">Камсыздандыруу фонддору боюнча камсыздандыруу төгүмдөрүнүн түшүшү Пенсиялык фонд боюнча </w:t>
      </w:r>
      <w:r w:rsidR="00EB393F" w:rsidRPr="003611B6">
        <w:rPr>
          <w:rFonts w:ascii="Times New Roman" w:eastAsia="Times New Roman" w:hAnsi="Times New Roman" w:cs="Times New Roman"/>
          <w:sz w:val="24"/>
          <w:szCs w:val="24"/>
          <w:lang w:val="ky-KG" w:eastAsia="ru-RU"/>
        </w:rPr>
        <w:t>1 369,4</w:t>
      </w:r>
      <w:r w:rsidR="00EB393F" w:rsidRPr="003611B6">
        <w:rPr>
          <w:rFonts w:ascii="Times New Roman" w:eastAsia="Times New Roman" w:hAnsi="Times New Roman" w:cs="Times New Roman"/>
          <w:sz w:val="24"/>
          <w:szCs w:val="24"/>
          <w:lang w:eastAsia="ru-RU"/>
        </w:rPr>
        <w:t xml:space="preserve"> </w:t>
      </w:r>
      <w:r w:rsidRPr="003611B6">
        <w:rPr>
          <w:rFonts w:ascii="Times New Roman" w:eastAsia="Times New Roman" w:hAnsi="Times New Roman" w:cs="Times New Roman"/>
          <w:sz w:val="24"/>
          <w:szCs w:val="24"/>
          <w:lang w:val="ky-KG" w:eastAsia="ru-RU"/>
        </w:rPr>
        <w:t xml:space="preserve">млн. сомго, Милдеттүү медициналык камсыздандыруу фонду боюнча </w:t>
      </w:r>
      <w:r w:rsidR="00EB393F" w:rsidRPr="003611B6">
        <w:rPr>
          <w:rFonts w:ascii="Times New Roman" w:eastAsia="Times New Roman" w:hAnsi="Times New Roman" w:cs="Times New Roman"/>
          <w:sz w:val="24"/>
          <w:szCs w:val="24"/>
          <w:lang w:eastAsia="ru-RU"/>
        </w:rPr>
        <w:t xml:space="preserve">150,8 </w:t>
      </w:r>
      <w:r w:rsidRPr="003611B6">
        <w:rPr>
          <w:rFonts w:ascii="Times New Roman" w:eastAsia="Times New Roman" w:hAnsi="Times New Roman" w:cs="Times New Roman"/>
          <w:sz w:val="24"/>
          <w:szCs w:val="24"/>
          <w:lang w:val="ky-KG" w:eastAsia="ru-RU"/>
        </w:rPr>
        <w:t xml:space="preserve">млн. сомго, </w:t>
      </w:r>
      <w:r w:rsidRPr="003611B6">
        <w:rPr>
          <w:rFonts w:ascii="Times New Roman" w:hAnsi="Times New Roman" w:cs="Times New Roman"/>
          <w:sz w:val="24"/>
          <w:szCs w:val="24"/>
          <w:lang w:val="ky-KG"/>
        </w:rPr>
        <w:t xml:space="preserve">Эмгекчилердин ден соолугун чыңдоо фонду боюнча </w:t>
      </w:r>
      <w:r w:rsidRPr="003611B6">
        <w:rPr>
          <w:rFonts w:ascii="Times New Roman" w:eastAsia="Times New Roman" w:hAnsi="Times New Roman" w:cs="Times New Roman"/>
          <w:sz w:val="24"/>
          <w:szCs w:val="24"/>
          <w:lang w:val="ky-KG" w:eastAsia="ru-RU"/>
        </w:rPr>
        <w:t>1</w:t>
      </w:r>
      <w:r w:rsidR="00EB393F" w:rsidRPr="003611B6">
        <w:rPr>
          <w:rFonts w:ascii="Times New Roman" w:eastAsia="Times New Roman" w:hAnsi="Times New Roman" w:cs="Times New Roman"/>
          <w:sz w:val="24"/>
          <w:szCs w:val="24"/>
          <w:lang w:val="ky-KG" w:eastAsia="ru-RU"/>
        </w:rPr>
        <w:t>2,0</w:t>
      </w:r>
      <w:r w:rsidRPr="003611B6">
        <w:rPr>
          <w:rFonts w:ascii="Times New Roman" w:eastAsia="Times New Roman" w:hAnsi="Times New Roman" w:cs="Times New Roman"/>
          <w:sz w:val="24"/>
          <w:szCs w:val="24"/>
          <w:lang w:val="ky-KG" w:eastAsia="ru-RU"/>
        </w:rPr>
        <w:t xml:space="preserve">  млн. сомго, </w:t>
      </w:r>
      <w:r w:rsidR="00E55067" w:rsidRPr="003611B6">
        <w:rPr>
          <w:rFonts w:ascii="Times New Roman" w:eastAsia="Times New Roman" w:hAnsi="Times New Roman" w:cs="Times New Roman"/>
          <w:sz w:val="24"/>
          <w:szCs w:val="24"/>
          <w:lang w:val="ky-KG" w:eastAsia="ru-RU"/>
        </w:rPr>
        <w:t>Мамлекеттик</w:t>
      </w:r>
      <w:r w:rsidR="00E55067" w:rsidRPr="003611B6">
        <w:rPr>
          <w:rFonts w:ascii="Times New Roman" w:hAnsi="Times New Roman" w:cs="Times New Roman"/>
          <w:lang w:val="ky-KG"/>
        </w:rPr>
        <w:t xml:space="preserve"> </w:t>
      </w:r>
      <w:r w:rsidR="00E55067" w:rsidRPr="003611B6">
        <w:rPr>
          <w:rFonts w:ascii="Times New Roman" w:hAnsi="Times New Roman" w:cs="Times New Roman"/>
          <w:sz w:val="24"/>
          <w:szCs w:val="24"/>
          <w:lang w:val="ky-KG"/>
        </w:rPr>
        <w:t xml:space="preserve">пенсиялык топтоо фонду </w:t>
      </w:r>
      <w:r w:rsidRPr="003611B6">
        <w:rPr>
          <w:rFonts w:ascii="Times New Roman" w:hAnsi="Times New Roman" w:cs="Times New Roman"/>
          <w:sz w:val="24"/>
          <w:szCs w:val="24"/>
          <w:lang w:val="ky-KG"/>
        </w:rPr>
        <w:t xml:space="preserve">боюнча </w:t>
      </w:r>
      <w:r w:rsidR="00EB393F" w:rsidRPr="003611B6">
        <w:rPr>
          <w:rFonts w:ascii="Times New Roman" w:hAnsi="Times New Roman" w:cs="Times New Roman"/>
          <w:sz w:val="24"/>
          <w:szCs w:val="24"/>
          <w:lang w:val="ky-KG"/>
        </w:rPr>
        <w:t>11,5</w:t>
      </w:r>
      <w:r w:rsidRPr="003611B6">
        <w:rPr>
          <w:rFonts w:ascii="Times New Roman" w:eastAsia="Times New Roman" w:hAnsi="Times New Roman" w:cs="Times New Roman"/>
          <w:sz w:val="24"/>
          <w:szCs w:val="24"/>
          <w:lang w:val="ky-KG" w:eastAsia="ru-RU"/>
        </w:rPr>
        <w:t xml:space="preserve"> млн. сомго </w:t>
      </w:r>
      <w:r w:rsidR="00EB393F" w:rsidRPr="003611B6">
        <w:rPr>
          <w:rFonts w:ascii="Times New Roman" w:eastAsia="Times New Roman" w:hAnsi="Times New Roman" w:cs="Times New Roman"/>
          <w:sz w:val="24"/>
          <w:szCs w:val="24"/>
          <w:lang w:val="ky-KG" w:eastAsia="ru-RU"/>
        </w:rPr>
        <w:t>азайууда.</w:t>
      </w:r>
      <w:r w:rsidRPr="003611B6">
        <w:rPr>
          <w:rFonts w:ascii="Times New Roman" w:hAnsi="Times New Roman" w:cs="Times New Roman"/>
          <w:b/>
          <w:sz w:val="24"/>
          <w:szCs w:val="24"/>
          <w:lang w:val="ky-KG"/>
        </w:rPr>
        <w:tab/>
      </w:r>
      <w:r w:rsidRPr="003611B6">
        <w:rPr>
          <w:rFonts w:ascii="Times New Roman" w:hAnsi="Times New Roman" w:cs="Times New Roman"/>
          <w:b/>
          <w:sz w:val="24"/>
          <w:szCs w:val="24"/>
          <w:lang w:val="ky-KG"/>
        </w:rPr>
        <w:tab/>
      </w:r>
      <w:r w:rsidRPr="003611B6">
        <w:rPr>
          <w:rFonts w:ascii="Times New Roman" w:hAnsi="Times New Roman" w:cs="Times New Roman"/>
          <w:b/>
          <w:sz w:val="24"/>
          <w:szCs w:val="24"/>
          <w:lang w:val="ky-KG"/>
        </w:rPr>
        <w:tab/>
      </w:r>
      <w:r w:rsidR="00EC53BF" w:rsidRPr="003611B6">
        <w:rPr>
          <w:rFonts w:ascii="Times New Roman" w:hAnsi="Times New Roman" w:cs="Times New Roman"/>
          <w:b/>
          <w:sz w:val="24"/>
          <w:szCs w:val="24"/>
          <w:lang w:val="ky-KG"/>
        </w:rPr>
        <w:t xml:space="preserve">                                  </w:t>
      </w:r>
    </w:p>
    <w:p w:rsidR="00BF3B40" w:rsidRPr="003611B6" w:rsidRDefault="00EC53BF" w:rsidP="00EC53BF">
      <w:pPr>
        <w:spacing w:after="0" w:line="240" w:lineRule="auto"/>
        <w:ind w:firstLine="708"/>
        <w:jc w:val="both"/>
        <w:rPr>
          <w:rFonts w:ascii="Times New Roman" w:hAnsi="Times New Roman" w:cs="Times New Roman"/>
          <w:sz w:val="24"/>
          <w:szCs w:val="24"/>
          <w:lang w:val="ky-KG"/>
        </w:rPr>
      </w:pPr>
      <w:r w:rsidRPr="003611B6">
        <w:rPr>
          <w:rFonts w:ascii="Times New Roman" w:hAnsi="Times New Roman" w:cs="Times New Roman"/>
          <w:b/>
          <w:sz w:val="24"/>
          <w:szCs w:val="24"/>
          <w:lang w:val="ky-KG"/>
        </w:rPr>
        <w:t xml:space="preserve">                                            </w:t>
      </w:r>
      <w:r w:rsidR="00006C08" w:rsidRPr="003611B6">
        <w:rPr>
          <w:rFonts w:ascii="Times New Roman" w:hAnsi="Times New Roman" w:cs="Times New Roman"/>
          <w:sz w:val="24"/>
          <w:szCs w:val="24"/>
          <w:lang w:val="ky-KG"/>
        </w:rPr>
        <w:t>(млн. сом)</w:t>
      </w:r>
    </w:p>
    <w:tbl>
      <w:tblPr>
        <w:tblStyle w:val="a4"/>
        <w:tblW w:w="0" w:type="auto"/>
        <w:tblInd w:w="108" w:type="dxa"/>
        <w:tblLayout w:type="fixed"/>
        <w:tblLook w:val="04A0" w:firstRow="1" w:lastRow="0" w:firstColumn="1" w:lastColumn="0" w:noHBand="0" w:noVBand="1"/>
      </w:tblPr>
      <w:tblGrid>
        <w:gridCol w:w="2977"/>
        <w:gridCol w:w="992"/>
        <w:gridCol w:w="993"/>
        <w:gridCol w:w="992"/>
        <w:gridCol w:w="850"/>
        <w:gridCol w:w="709"/>
        <w:gridCol w:w="851"/>
        <w:gridCol w:w="708"/>
      </w:tblGrid>
      <w:tr w:rsidR="003611B6" w:rsidRPr="003611B6" w:rsidTr="00D71DE3">
        <w:trPr>
          <w:trHeight w:val="465"/>
        </w:trPr>
        <w:tc>
          <w:tcPr>
            <w:tcW w:w="2977" w:type="dxa"/>
            <w:vMerge w:val="restart"/>
            <w:vAlign w:val="center"/>
          </w:tcPr>
          <w:p w:rsidR="00BF3B40" w:rsidRPr="003611B6" w:rsidRDefault="00BF3B40" w:rsidP="00DB0DE1">
            <w:pPr>
              <w:spacing w:after="0" w:line="240" w:lineRule="auto"/>
              <w:rPr>
                <w:rFonts w:ascii="Times New Roman" w:hAnsi="Times New Roman" w:cs="Times New Roman"/>
                <w:b/>
                <w:sz w:val="20"/>
                <w:szCs w:val="20"/>
                <w:lang w:val="ky-KG"/>
              </w:rPr>
            </w:pPr>
            <w:r w:rsidRPr="003611B6">
              <w:rPr>
                <w:rFonts w:ascii="Times New Roman" w:hAnsi="Times New Roman" w:cs="Times New Roman"/>
                <w:b/>
                <w:sz w:val="20"/>
                <w:szCs w:val="20"/>
                <w:lang w:val="ky-KG"/>
              </w:rPr>
              <w:t>Фонд</w:t>
            </w:r>
            <w:r w:rsidR="004E7580" w:rsidRPr="003611B6">
              <w:rPr>
                <w:rFonts w:ascii="Times New Roman" w:hAnsi="Times New Roman" w:cs="Times New Roman"/>
                <w:b/>
                <w:sz w:val="20"/>
                <w:szCs w:val="20"/>
                <w:lang w:val="ky-KG"/>
              </w:rPr>
              <w:t>дор</w:t>
            </w:r>
          </w:p>
        </w:tc>
        <w:tc>
          <w:tcPr>
            <w:tcW w:w="992" w:type="dxa"/>
            <w:vMerge w:val="restart"/>
            <w:vAlign w:val="center"/>
          </w:tcPr>
          <w:p w:rsidR="00BF3B40" w:rsidRPr="003611B6" w:rsidRDefault="00BF3B40"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201</w:t>
            </w:r>
            <w:r w:rsidR="00EC53BF" w:rsidRPr="003611B6">
              <w:rPr>
                <w:rFonts w:ascii="Times New Roman" w:eastAsia="Times New Roman" w:hAnsi="Times New Roman" w:cs="Times New Roman"/>
                <w:b/>
                <w:sz w:val="20"/>
                <w:szCs w:val="20"/>
                <w:lang w:val="ky-KG" w:eastAsia="ru-RU"/>
              </w:rPr>
              <w:t>9</w:t>
            </w:r>
            <w:r w:rsidR="004E7580" w:rsidRPr="003611B6">
              <w:rPr>
                <w:rFonts w:ascii="Times New Roman" w:eastAsia="Times New Roman" w:hAnsi="Times New Roman" w:cs="Times New Roman"/>
                <w:b/>
                <w:sz w:val="20"/>
                <w:szCs w:val="20"/>
                <w:lang w:val="ky-KG" w:eastAsia="ru-RU"/>
              </w:rPr>
              <w:t>-жыл</w:t>
            </w:r>
          </w:p>
          <w:p w:rsidR="00BF3B40" w:rsidRPr="003611B6" w:rsidRDefault="00C667FA"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анык</w:t>
            </w:r>
          </w:p>
        </w:tc>
        <w:tc>
          <w:tcPr>
            <w:tcW w:w="993" w:type="dxa"/>
            <w:vMerge w:val="restart"/>
            <w:vAlign w:val="center"/>
          </w:tcPr>
          <w:p w:rsidR="00BF3B40" w:rsidRPr="003611B6" w:rsidRDefault="00EC53BF"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2020</w:t>
            </w:r>
            <w:r w:rsidR="004E7580" w:rsidRPr="003611B6">
              <w:rPr>
                <w:rFonts w:ascii="Times New Roman" w:eastAsia="Times New Roman" w:hAnsi="Times New Roman" w:cs="Times New Roman"/>
                <w:b/>
                <w:sz w:val="20"/>
                <w:szCs w:val="20"/>
                <w:lang w:val="ky-KG" w:eastAsia="ru-RU"/>
              </w:rPr>
              <w:t>-жыл</w:t>
            </w:r>
          </w:p>
          <w:p w:rsidR="00BF3B40" w:rsidRPr="003611B6" w:rsidRDefault="00F656DA"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б</w:t>
            </w:r>
            <w:r w:rsidR="004E7580" w:rsidRPr="003611B6">
              <w:rPr>
                <w:rFonts w:ascii="Times New Roman" w:eastAsia="Times New Roman" w:hAnsi="Times New Roman" w:cs="Times New Roman"/>
                <w:b/>
                <w:sz w:val="20"/>
                <w:szCs w:val="20"/>
                <w:lang w:val="ky-KG" w:eastAsia="ru-RU"/>
              </w:rPr>
              <w:t>екит</w:t>
            </w:r>
            <w:r w:rsidRPr="003611B6">
              <w:rPr>
                <w:rFonts w:ascii="Times New Roman" w:eastAsia="Times New Roman" w:hAnsi="Times New Roman" w:cs="Times New Roman"/>
                <w:b/>
                <w:sz w:val="20"/>
                <w:szCs w:val="20"/>
                <w:lang w:val="ky-KG" w:eastAsia="ru-RU"/>
              </w:rPr>
              <w:t>ил-ген</w:t>
            </w:r>
          </w:p>
        </w:tc>
        <w:tc>
          <w:tcPr>
            <w:tcW w:w="992" w:type="dxa"/>
            <w:vMerge w:val="restart"/>
            <w:vAlign w:val="center"/>
          </w:tcPr>
          <w:p w:rsidR="00BF3B40" w:rsidRPr="003611B6" w:rsidRDefault="00BF3B40"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w:t>
            </w:r>
            <w:r w:rsidR="00EC53BF" w:rsidRPr="003611B6">
              <w:rPr>
                <w:rFonts w:ascii="Times New Roman" w:eastAsia="Times New Roman" w:hAnsi="Times New Roman" w:cs="Times New Roman"/>
                <w:b/>
                <w:sz w:val="20"/>
                <w:szCs w:val="20"/>
                <w:lang w:val="ky-KG" w:eastAsia="ru-RU"/>
              </w:rPr>
              <w:t>20</w:t>
            </w:r>
            <w:r w:rsidR="004E7580" w:rsidRPr="003611B6">
              <w:rPr>
                <w:rFonts w:ascii="Times New Roman" w:eastAsia="Times New Roman" w:hAnsi="Times New Roman" w:cs="Times New Roman"/>
                <w:b/>
                <w:sz w:val="20"/>
                <w:szCs w:val="20"/>
                <w:lang w:val="ky-KG" w:eastAsia="ru-RU"/>
              </w:rPr>
              <w:t>-жыл</w:t>
            </w:r>
          </w:p>
          <w:p w:rsidR="00BF3B40" w:rsidRPr="003611B6" w:rsidRDefault="00F656DA"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тактал-ган</w:t>
            </w:r>
          </w:p>
        </w:tc>
        <w:tc>
          <w:tcPr>
            <w:tcW w:w="1559" w:type="dxa"/>
            <w:gridSpan w:val="2"/>
            <w:vAlign w:val="center"/>
          </w:tcPr>
          <w:p w:rsidR="00BF3B40" w:rsidRPr="003611B6" w:rsidRDefault="004E7580" w:rsidP="00EC53BF">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w:t>
            </w:r>
            <w:r w:rsidR="00EC53BF" w:rsidRPr="003611B6">
              <w:rPr>
                <w:rFonts w:ascii="Times New Roman" w:eastAsia="Times New Roman" w:hAnsi="Times New Roman" w:cs="Times New Roman"/>
                <w:b/>
                <w:sz w:val="20"/>
                <w:szCs w:val="20"/>
                <w:lang w:val="ky-KG" w:eastAsia="ru-RU"/>
              </w:rPr>
              <w:t>20</w:t>
            </w:r>
            <w:r w:rsidRPr="003611B6">
              <w:rPr>
                <w:rFonts w:ascii="Times New Roman" w:eastAsia="Times New Roman" w:hAnsi="Times New Roman" w:cs="Times New Roman"/>
                <w:b/>
                <w:sz w:val="20"/>
                <w:szCs w:val="20"/>
                <w:lang w:val="ky-KG" w:eastAsia="ru-RU"/>
              </w:rPr>
              <w:t xml:space="preserve">-ж. бекит. карата өсүш </w:t>
            </w:r>
          </w:p>
        </w:tc>
        <w:tc>
          <w:tcPr>
            <w:tcW w:w="1559" w:type="dxa"/>
            <w:gridSpan w:val="2"/>
            <w:vAlign w:val="center"/>
          </w:tcPr>
          <w:p w:rsidR="00BF3B40" w:rsidRPr="003611B6" w:rsidRDefault="00BF3B40" w:rsidP="00EC53BF">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 xml:space="preserve"> 201</w:t>
            </w:r>
            <w:r w:rsidR="00EC53BF" w:rsidRPr="003611B6">
              <w:rPr>
                <w:rFonts w:ascii="Times New Roman" w:eastAsia="Times New Roman" w:hAnsi="Times New Roman" w:cs="Times New Roman"/>
                <w:b/>
                <w:sz w:val="20"/>
                <w:szCs w:val="20"/>
                <w:lang w:val="ky-KG" w:eastAsia="ru-RU"/>
              </w:rPr>
              <w:t>9</w:t>
            </w:r>
            <w:r w:rsidR="004E7580" w:rsidRPr="003611B6">
              <w:rPr>
                <w:rFonts w:ascii="Times New Roman" w:eastAsia="Times New Roman" w:hAnsi="Times New Roman" w:cs="Times New Roman"/>
                <w:b/>
                <w:sz w:val="20"/>
                <w:szCs w:val="20"/>
                <w:lang w:val="ky-KG" w:eastAsia="ru-RU"/>
              </w:rPr>
              <w:t>-ж. карата өсүш</w:t>
            </w:r>
          </w:p>
        </w:tc>
      </w:tr>
      <w:tr w:rsidR="003611B6" w:rsidRPr="003611B6" w:rsidTr="00D71DE3">
        <w:trPr>
          <w:trHeight w:val="465"/>
        </w:trPr>
        <w:tc>
          <w:tcPr>
            <w:tcW w:w="2977" w:type="dxa"/>
            <w:vMerge/>
            <w:vAlign w:val="center"/>
          </w:tcPr>
          <w:p w:rsidR="00BF3B40" w:rsidRPr="003611B6" w:rsidRDefault="00BF3B40" w:rsidP="00DB0DE1">
            <w:pPr>
              <w:spacing w:after="0" w:line="240" w:lineRule="auto"/>
              <w:rPr>
                <w:rFonts w:ascii="Times New Roman" w:hAnsi="Times New Roman" w:cs="Times New Roman"/>
                <w:b/>
                <w:sz w:val="24"/>
                <w:szCs w:val="24"/>
                <w:lang w:val="ky-KG"/>
              </w:rPr>
            </w:pPr>
          </w:p>
        </w:tc>
        <w:tc>
          <w:tcPr>
            <w:tcW w:w="992" w:type="dxa"/>
            <w:vMerge/>
            <w:vAlign w:val="center"/>
          </w:tcPr>
          <w:p w:rsidR="00BF3B40" w:rsidRPr="003611B6" w:rsidRDefault="00BF3B40" w:rsidP="00DB0DE1">
            <w:pPr>
              <w:spacing w:after="0" w:line="240" w:lineRule="auto"/>
              <w:jc w:val="center"/>
              <w:rPr>
                <w:rFonts w:ascii="Times New Roman" w:eastAsia="Times New Roman" w:hAnsi="Times New Roman" w:cs="Times New Roman"/>
                <w:b/>
                <w:sz w:val="24"/>
                <w:szCs w:val="24"/>
                <w:lang w:val="ky-KG" w:eastAsia="ru-RU"/>
              </w:rPr>
            </w:pPr>
          </w:p>
        </w:tc>
        <w:tc>
          <w:tcPr>
            <w:tcW w:w="993" w:type="dxa"/>
            <w:vMerge/>
          </w:tcPr>
          <w:p w:rsidR="00BF3B40" w:rsidRPr="003611B6" w:rsidRDefault="00BF3B40" w:rsidP="00DB0DE1">
            <w:pPr>
              <w:spacing w:after="0" w:line="240" w:lineRule="auto"/>
              <w:jc w:val="center"/>
              <w:rPr>
                <w:rFonts w:ascii="Times New Roman" w:eastAsia="Times New Roman" w:hAnsi="Times New Roman" w:cs="Times New Roman"/>
                <w:b/>
                <w:sz w:val="24"/>
                <w:szCs w:val="24"/>
                <w:lang w:val="ky-KG" w:eastAsia="ru-RU"/>
              </w:rPr>
            </w:pPr>
          </w:p>
        </w:tc>
        <w:tc>
          <w:tcPr>
            <w:tcW w:w="992" w:type="dxa"/>
            <w:vMerge/>
            <w:vAlign w:val="center"/>
          </w:tcPr>
          <w:p w:rsidR="00BF3B40" w:rsidRPr="003611B6" w:rsidRDefault="00BF3B40" w:rsidP="00DB0DE1">
            <w:pPr>
              <w:spacing w:after="0" w:line="240" w:lineRule="auto"/>
              <w:jc w:val="center"/>
              <w:rPr>
                <w:rFonts w:ascii="Times New Roman" w:eastAsia="Times New Roman" w:hAnsi="Times New Roman" w:cs="Times New Roman"/>
                <w:b/>
                <w:sz w:val="24"/>
                <w:szCs w:val="24"/>
                <w:lang w:val="ky-KG" w:eastAsia="ru-RU"/>
              </w:rPr>
            </w:pPr>
          </w:p>
        </w:tc>
        <w:tc>
          <w:tcPr>
            <w:tcW w:w="850" w:type="dxa"/>
            <w:vAlign w:val="center"/>
          </w:tcPr>
          <w:p w:rsidR="00BF3B40" w:rsidRPr="003611B6" w:rsidRDefault="00BF3B40" w:rsidP="00DB0DE1">
            <w:pPr>
              <w:spacing w:after="0" w:line="240" w:lineRule="auto"/>
              <w:jc w:val="center"/>
              <w:rPr>
                <w:rFonts w:ascii="Times New Roman" w:eastAsia="Times New Roman" w:hAnsi="Times New Roman" w:cs="Times New Roman"/>
                <w:b/>
                <w:sz w:val="20"/>
                <w:szCs w:val="24"/>
                <w:lang w:val="ky-KG" w:eastAsia="ru-RU"/>
              </w:rPr>
            </w:pPr>
            <w:r w:rsidRPr="003611B6">
              <w:rPr>
                <w:rFonts w:ascii="Times New Roman" w:eastAsia="Times New Roman" w:hAnsi="Times New Roman" w:cs="Times New Roman"/>
                <w:b/>
                <w:sz w:val="20"/>
                <w:szCs w:val="24"/>
                <w:lang w:val="ky-KG" w:eastAsia="ru-RU"/>
              </w:rPr>
              <w:t>+/-</w:t>
            </w:r>
          </w:p>
        </w:tc>
        <w:tc>
          <w:tcPr>
            <w:tcW w:w="709" w:type="dxa"/>
            <w:vAlign w:val="center"/>
          </w:tcPr>
          <w:p w:rsidR="00BF3B40" w:rsidRPr="003611B6" w:rsidRDefault="00BF3B40" w:rsidP="00DB0DE1">
            <w:pPr>
              <w:spacing w:after="0" w:line="240" w:lineRule="auto"/>
              <w:jc w:val="center"/>
              <w:rPr>
                <w:rFonts w:ascii="Times New Roman" w:eastAsia="Times New Roman" w:hAnsi="Times New Roman" w:cs="Times New Roman"/>
                <w:b/>
                <w:sz w:val="20"/>
                <w:szCs w:val="24"/>
                <w:lang w:val="ky-KG" w:eastAsia="ru-RU"/>
              </w:rPr>
            </w:pPr>
            <w:r w:rsidRPr="003611B6">
              <w:rPr>
                <w:rFonts w:ascii="Times New Roman" w:eastAsia="Times New Roman" w:hAnsi="Times New Roman" w:cs="Times New Roman"/>
                <w:b/>
                <w:sz w:val="20"/>
                <w:szCs w:val="24"/>
                <w:lang w:val="ky-KG" w:eastAsia="ru-RU"/>
              </w:rPr>
              <w:t>%</w:t>
            </w:r>
          </w:p>
        </w:tc>
        <w:tc>
          <w:tcPr>
            <w:tcW w:w="851" w:type="dxa"/>
            <w:vAlign w:val="center"/>
          </w:tcPr>
          <w:p w:rsidR="00BF3B40" w:rsidRPr="003611B6" w:rsidRDefault="00BF3B40" w:rsidP="00DB0DE1">
            <w:pPr>
              <w:spacing w:after="0" w:line="240" w:lineRule="auto"/>
              <w:jc w:val="center"/>
              <w:rPr>
                <w:rFonts w:ascii="Times New Roman" w:eastAsia="Times New Roman" w:hAnsi="Times New Roman" w:cs="Times New Roman"/>
                <w:b/>
                <w:sz w:val="20"/>
                <w:szCs w:val="24"/>
                <w:lang w:val="ky-KG" w:eastAsia="ru-RU"/>
              </w:rPr>
            </w:pPr>
            <w:r w:rsidRPr="003611B6">
              <w:rPr>
                <w:rFonts w:ascii="Times New Roman" w:eastAsia="Times New Roman" w:hAnsi="Times New Roman" w:cs="Times New Roman"/>
                <w:b/>
                <w:sz w:val="20"/>
                <w:szCs w:val="24"/>
                <w:lang w:val="ky-KG" w:eastAsia="ru-RU"/>
              </w:rPr>
              <w:t>+/-</w:t>
            </w:r>
          </w:p>
        </w:tc>
        <w:tc>
          <w:tcPr>
            <w:tcW w:w="708" w:type="dxa"/>
            <w:vAlign w:val="center"/>
          </w:tcPr>
          <w:p w:rsidR="00BF3B40" w:rsidRPr="003611B6" w:rsidRDefault="00BF3B40" w:rsidP="00DB0DE1">
            <w:pPr>
              <w:spacing w:after="0" w:line="240" w:lineRule="auto"/>
              <w:jc w:val="center"/>
              <w:rPr>
                <w:rFonts w:ascii="Times New Roman" w:eastAsia="Times New Roman" w:hAnsi="Times New Roman" w:cs="Times New Roman"/>
                <w:b/>
                <w:sz w:val="20"/>
                <w:szCs w:val="24"/>
                <w:lang w:val="ky-KG" w:eastAsia="ru-RU"/>
              </w:rPr>
            </w:pPr>
            <w:r w:rsidRPr="003611B6">
              <w:rPr>
                <w:rFonts w:ascii="Times New Roman" w:eastAsia="Times New Roman" w:hAnsi="Times New Roman" w:cs="Times New Roman"/>
                <w:b/>
                <w:sz w:val="20"/>
                <w:szCs w:val="24"/>
                <w:lang w:val="ky-KG" w:eastAsia="ru-RU"/>
              </w:rPr>
              <w:t>%</w:t>
            </w:r>
          </w:p>
        </w:tc>
      </w:tr>
      <w:tr w:rsidR="003611B6" w:rsidRPr="003611B6" w:rsidTr="00551494">
        <w:tc>
          <w:tcPr>
            <w:tcW w:w="2977" w:type="dxa"/>
            <w:vAlign w:val="center"/>
          </w:tcPr>
          <w:p w:rsidR="00C04028" w:rsidRPr="003611B6" w:rsidRDefault="00C04028" w:rsidP="00DB0DE1">
            <w:pPr>
              <w:spacing w:after="0" w:line="240" w:lineRule="auto"/>
              <w:rPr>
                <w:rFonts w:ascii="Times New Roman" w:hAnsi="Times New Roman" w:cs="Times New Roman"/>
                <w:sz w:val="20"/>
                <w:szCs w:val="20"/>
                <w:lang w:val="ky-KG"/>
              </w:rPr>
            </w:pPr>
            <w:r w:rsidRPr="003611B6">
              <w:rPr>
                <w:rFonts w:ascii="Times New Roman" w:hAnsi="Times New Roman" w:cs="Times New Roman"/>
                <w:sz w:val="20"/>
                <w:szCs w:val="20"/>
                <w:lang w:val="ky-KG"/>
              </w:rPr>
              <w:t>Пенсиялык фонд</w:t>
            </w:r>
          </w:p>
        </w:tc>
        <w:tc>
          <w:tcPr>
            <w:tcW w:w="992"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27947,9</w:t>
            </w:r>
          </w:p>
        </w:tc>
        <w:tc>
          <w:tcPr>
            <w:tcW w:w="993"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30886,0</w:t>
            </w:r>
          </w:p>
        </w:tc>
        <w:tc>
          <w:tcPr>
            <w:tcW w:w="992"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29516,6</w:t>
            </w:r>
          </w:p>
        </w:tc>
        <w:tc>
          <w:tcPr>
            <w:tcW w:w="850"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-13</w:t>
            </w:r>
            <w:r w:rsidRPr="003611B6">
              <w:rPr>
                <w:rFonts w:ascii="Times New Roman" w:hAnsi="Times New Roman" w:cs="Times New Roman"/>
                <w:sz w:val="20"/>
                <w:szCs w:val="20"/>
                <w:lang w:val="ky-KG"/>
              </w:rPr>
              <w:t>6</w:t>
            </w:r>
            <w:r w:rsidRPr="003611B6">
              <w:rPr>
                <w:rFonts w:ascii="Times New Roman" w:hAnsi="Times New Roman" w:cs="Times New Roman"/>
                <w:sz w:val="20"/>
                <w:szCs w:val="20"/>
              </w:rPr>
              <w:t>9,</w:t>
            </w:r>
            <w:r w:rsidRPr="003611B6">
              <w:rPr>
                <w:rFonts w:ascii="Times New Roman" w:hAnsi="Times New Roman" w:cs="Times New Roman"/>
                <w:sz w:val="20"/>
                <w:szCs w:val="20"/>
                <w:lang w:val="ky-KG"/>
              </w:rPr>
              <w:t>4</w:t>
            </w:r>
          </w:p>
        </w:tc>
        <w:tc>
          <w:tcPr>
            <w:tcW w:w="709"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95,</w:t>
            </w:r>
            <w:r w:rsidRPr="003611B6">
              <w:rPr>
                <w:rFonts w:ascii="Times New Roman" w:hAnsi="Times New Roman" w:cs="Times New Roman"/>
                <w:sz w:val="20"/>
                <w:szCs w:val="20"/>
                <w:lang w:val="ky-KG"/>
              </w:rPr>
              <w:t>6</w:t>
            </w:r>
          </w:p>
        </w:tc>
        <w:tc>
          <w:tcPr>
            <w:tcW w:w="851"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1568,7</w:t>
            </w:r>
          </w:p>
        </w:tc>
        <w:tc>
          <w:tcPr>
            <w:tcW w:w="708"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105,6</w:t>
            </w:r>
          </w:p>
        </w:tc>
      </w:tr>
      <w:tr w:rsidR="003611B6" w:rsidRPr="003611B6" w:rsidTr="00551494">
        <w:tc>
          <w:tcPr>
            <w:tcW w:w="2977" w:type="dxa"/>
            <w:vAlign w:val="center"/>
          </w:tcPr>
          <w:p w:rsidR="00C04028" w:rsidRPr="003611B6" w:rsidRDefault="00C04028" w:rsidP="00DB0DE1">
            <w:pPr>
              <w:spacing w:after="0" w:line="240" w:lineRule="auto"/>
              <w:rPr>
                <w:rFonts w:ascii="Times New Roman" w:hAnsi="Times New Roman" w:cs="Times New Roman"/>
                <w:sz w:val="20"/>
                <w:szCs w:val="20"/>
                <w:lang w:val="ky-KG"/>
              </w:rPr>
            </w:pPr>
            <w:r w:rsidRPr="003611B6">
              <w:rPr>
                <w:rFonts w:ascii="Times New Roman" w:hAnsi="Times New Roman" w:cs="Times New Roman"/>
                <w:sz w:val="20"/>
                <w:szCs w:val="20"/>
                <w:lang w:val="ky-KG"/>
              </w:rPr>
              <w:t>ММК фонду</w:t>
            </w:r>
          </w:p>
        </w:tc>
        <w:tc>
          <w:tcPr>
            <w:tcW w:w="992"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2391,5</w:t>
            </w:r>
          </w:p>
        </w:tc>
        <w:tc>
          <w:tcPr>
            <w:tcW w:w="993"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2649,1</w:t>
            </w:r>
          </w:p>
        </w:tc>
        <w:tc>
          <w:tcPr>
            <w:tcW w:w="992"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2498,3</w:t>
            </w:r>
          </w:p>
        </w:tc>
        <w:tc>
          <w:tcPr>
            <w:tcW w:w="850"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-150,8</w:t>
            </w:r>
          </w:p>
        </w:tc>
        <w:tc>
          <w:tcPr>
            <w:tcW w:w="709"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94,3</w:t>
            </w:r>
          </w:p>
        </w:tc>
        <w:tc>
          <w:tcPr>
            <w:tcW w:w="851"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106,8</w:t>
            </w:r>
          </w:p>
        </w:tc>
        <w:tc>
          <w:tcPr>
            <w:tcW w:w="708"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104,5</w:t>
            </w:r>
          </w:p>
        </w:tc>
      </w:tr>
      <w:tr w:rsidR="003611B6" w:rsidRPr="003611B6" w:rsidTr="00CE5056">
        <w:tc>
          <w:tcPr>
            <w:tcW w:w="2977" w:type="dxa"/>
            <w:vAlign w:val="center"/>
          </w:tcPr>
          <w:p w:rsidR="00C04028" w:rsidRPr="003611B6" w:rsidRDefault="00C04028" w:rsidP="00DB0DE1">
            <w:pPr>
              <w:spacing w:after="0" w:line="240" w:lineRule="auto"/>
              <w:rPr>
                <w:rFonts w:ascii="Times New Roman" w:hAnsi="Times New Roman" w:cs="Times New Roman"/>
                <w:sz w:val="20"/>
                <w:szCs w:val="20"/>
                <w:lang w:val="ky-KG"/>
              </w:rPr>
            </w:pPr>
            <w:r w:rsidRPr="003611B6">
              <w:rPr>
                <w:rFonts w:ascii="Times New Roman" w:hAnsi="Times New Roman" w:cs="Times New Roman"/>
                <w:sz w:val="20"/>
                <w:szCs w:val="20"/>
                <w:lang w:val="ky-KG"/>
              </w:rPr>
              <w:lastRenderedPageBreak/>
              <w:t>Эмгекчилердин ден соолугун чыңдоо фонду</w:t>
            </w:r>
          </w:p>
        </w:tc>
        <w:tc>
          <w:tcPr>
            <w:tcW w:w="992"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292,5</w:t>
            </w:r>
          </w:p>
        </w:tc>
        <w:tc>
          <w:tcPr>
            <w:tcW w:w="993"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325,3</w:t>
            </w:r>
          </w:p>
        </w:tc>
        <w:tc>
          <w:tcPr>
            <w:tcW w:w="992"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313,3</w:t>
            </w:r>
          </w:p>
        </w:tc>
        <w:tc>
          <w:tcPr>
            <w:tcW w:w="850"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-12,0</w:t>
            </w:r>
          </w:p>
        </w:tc>
        <w:tc>
          <w:tcPr>
            <w:tcW w:w="709"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96,3</w:t>
            </w:r>
          </w:p>
        </w:tc>
        <w:tc>
          <w:tcPr>
            <w:tcW w:w="851"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20,8</w:t>
            </w:r>
          </w:p>
        </w:tc>
        <w:tc>
          <w:tcPr>
            <w:tcW w:w="708"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107,1</w:t>
            </w:r>
          </w:p>
        </w:tc>
      </w:tr>
      <w:tr w:rsidR="003611B6" w:rsidRPr="003611B6" w:rsidTr="00551494">
        <w:tc>
          <w:tcPr>
            <w:tcW w:w="2977" w:type="dxa"/>
            <w:vAlign w:val="center"/>
          </w:tcPr>
          <w:p w:rsidR="00C04028" w:rsidRPr="003611B6" w:rsidRDefault="00C04028" w:rsidP="00DB0DE1">
            <w:pPr>
              <w:spacing w:after="0" w:line="240" w:lineRule="auto"/>
              <w:rPr>
                <w:rFonts w:ascii="Times New Roman" w:hAnsi="Times New Roman" w:cs="Times New Roman"/>
                <w:sz w:val="20"/>
                <w:szCs w:val="20"/>
                <w:lang w:val="ky-KG"/>
              </w:rPr>
            </w:pPr>
            <w:r w:rsidRPr="003611B6">
              <w:rPr>
                <w:rFonts w:ascii="Times New Roman" w:hAnsi="Times New Roman" w:cs="Times New Roman"/>
                <w:sz w:val="20"/>
                <w:szCs w:val="20"/>
                <w:lang w:val="ky-KG"/>
              </w:rPr>
              <w:t>МТПФ</w:t>
            </w:r>
          </w:p>
        </w:tc>
        <w:tc>
          <w:tcPr>
            <w:tcW w:w="992"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1767,5</w:t>
            </w:r>
          </w:p>
        </w:tc>
        <w:tc>
          <w:tcPr>
            <w:tcW w:w="993" w:type="dxa"/>
            <w:vAlign w:val="center"/>
          </w:tcPr>
          <w:p w:rsidR="00C04028" w:rsidRPr="003611B6" w:rsidRDefault="00C04028" w:rsidP="00673351">
            <w:pPr>
              <w:jc w:val="center"/>
              <w:rPr>
                <w:rFonts w:ascii="Times New Roman" w:hAnsi="Times New Roman" w:cs="Times New Roman"/>
                <w:sz w:val="20"/>
                <w:szCs w:val="20"/>
              </w:rPr>
            </w:pPr>
            <w:r w:rsidRPr="003611B6">
              <w:rPr>
                <w:rFonts w:ascii="Times New Roman" w:hAnsi="Times New Roman" w:cs="Times New Roman"/>
                <w:sz w:val="20"/>
                <w:szCs w:val="20"/>
              </w:rPr>
              <w:t>1867,3</w:t>
            </w:r>
          </w:p>
        </w:tc>
        <w:tc>
          <w:tcPr>
            <w:tcW w:w="992"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1855,7</w:t>
            </w:r>
          </w:p>
        </w:tc>
        <w:tc>
          <w:tcPr>
            <w:tcW w:w="850"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11,</w:t>
            </w:r>
            <w:r w:rsidRPr="003611B6">
              <w:rPr>
                <w:rFonts w:ascii="Times New Roman" w:hAnsi="Times New Roman" w:cs="Times New Roman"/>
                <w:sz w:val="20"/>
                <w:szCs w:val="20"/>
                <w:lang w:val="ky-KG"/>
              </w:rPr>
              <w:t>5</w:t>
            </w:r>
          </w:p>
        </w:tc>
        <w:tc>
          <w:tcPr>
            <w:tcW w:w="709"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99,4</w:t>
            </w:r>
          </w:p>
        </w:tc>
        <w:tc>
          <w:tcPr>
            <w:tcW w:w="851" w:type="dxa"/>
            <w:vAlign w:val="center"/>
          </w:tcPr>
          <w:p w:rsidR="00C04028" w:rsidRPr="00FD0A05" w:rsidRDefault="00FD0A05" w:rsidP="00673351">
            <w:pPr>
              <w:jc w:val="center"/>
              <w:rPr>
                <w:rFonts w:ascii="Times New Roman" w:hAnsi="Times New Roman" w:cs="Times New Roman"/>
                <w:sz w:val="20"/>
                <w:szCs w:val="20"/>
                <w:lang w:val="ky-KG"/>
              </w:rPr>
            </w:pPr>
            <w:r>
              <w:rPr>
                <w:rFonts w:ascii="Times New Roman" w:hAnsi="Times New Roman" w:cs="Times New Roman"/>
                <w:sz w:val="20"/>
                <w:szCs w:val="20"/>
                <w:lang w:val="ky-KG"/>
              </w:rPr>
              <w:t>88,2</w:t>
            </w:r>
          </w:p>
        </w:tc>
        <w:tc>
          <w:tcPr>
            <w:tcW w:w="708" w:type="dxa"/>
            <w:vAlign w:val="center"/>
          </w:tcPr>
          <w:p w:rsidR="00C04028" w:rsidRPr="003611B6" w:rsidRDefault="00C04028"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10</w:t>
            </w:r>
            <w:r w:rsidRPr="003611B6">
              <w:rPr>
                <w:rFonts w:ascii="Times New Roman" w:hAnsi="Times New Roman" w:cs="Times New Roman"/>
                <w:sz w:val="20"/>
                <w:szCs w:val="20"/>
                <w:lang w:val="ky-KG"/>
              </w:rPr>
              <w:t>5,0</w:t>
            </w:r>
          </w:p>
        </w:tc>
      </w:tr>
      <w:tr w:rsidR="003611B6" w:rsidRPr="003611B6" w:rsidTr="00551494">
        <w:tc>
          <w:tcPr>
            <w:tcW w:w="2977" w:type="dxa"/>
            <w:vAlign w:val="center"/>
          </w:tcPr>
          <w:p w:rsidR="00C04028" w:rsidRPr="003611B6" w:rsidRDefault="00C04028" w:rsidP="00DB0DE1">
            <w:pPr>
              <w:spacing w:after="0" w:line="240" w:lineRule="auto"/>
              <w:rPr>
                <w:rFonts w:ascii="Times New Roman" w:hAnsi="Times New Roman" w:cs="Times New Roman"/>
                <w:b/>
                <w:sz w:val="20"/>
                <w:szCs w:val="20"/>
                <w:lang w:val="ky-KG"/>
              </w:rPr>
            </w:pPr>
            <w:r w:rsidRPr="003611B6">
              <w:rPr>
                <w:rFonts w:ascii="Times New Roman" w:hAnsi="Times New Roman" w:cs="Times New Roman"/>
                <w:b/>
                <w:sz w:val="20"/>
                <w:szCs w:val="20"/>
                <w:lang w:val="ky-KG"/>
              </w:rPr>
              <w:t xml:space="preserve">Бардыгы   </w:t>
            </w:r>
          </w:p>
        </w:tc>
        <w:tc>
          <w:tcPr>
            <w:tcW w:w="992" w:type="dxa"/>
            <w:vAlign w:val="center"/>
          </w:tcPr>
          <w:p w:rsidR="00C04028" w:rsidRPr="003611B6" w:rsidRDefault="00C04028" w:rsidP="00673351">
            <w:pPr>
              <w:jc w:val="center"/>
              <w:rPr>
                <w:rFonts w:ascii="Times New Roman" w:hAnsi="Times New Roman" w:cs="Times New Roman"/>
                <w:b/>
                <w:bCs/>
                <w:sz w:val="20"/>
                <w:szCs w:val="20"/>
              </w:rPr>
            </w:pPr>
            <w:r w:rsidRPr="003611B6">
              <w:rPr>
                <w:rFonts w:ascii="Times New Roman" w:hAnsi="Times New Roman" w:cs="Times New Roman"/>
                <w:b/>
                <w:bCs/>
                <w:sz w:val="20"/>
                <w:szCs w:val="20"/>
              </w:rPr>
              <w:t>32399,4</w:t>
            </w:r>
          </w:p>
        </w:tc>
        <w:tc>
          <w:tcPr>
            <w:tcW w:w="993" w:type="dxa"/>
            <w:vAlign w:val="center"/>
          </w:tcPr>
          <w:p w:rsidR="00C04028" w:rsidRPr="003611B6" w:rsidRDefault="00C04028" w:rsidP="00673351">
            <w:pPr>
              <w:jc w:val="center"/>
              <w:rPr>
                <w:rFonts w:ascii="Times New Roman" w:hAnsi="Times New Roman" w:cs="Times New Roman"/>
                <w:b/>
                <w:sz w:val="20"/>
                <w:szCs w:val="20"/>
              </w:rPr>
            </w:pPr>
            <w:r w:rsidRPr="003611B6">
              <w:rPr>
                <w:rFonts w:ascii="Times New Roman" w:hAnsi="Times New Roman" w:cs="Times New Roman"/>
                <w:b/>
                <w:sz w:val="20"/>
                <w:szCs w:val="20"/>
              </w:rPr>
              <w:t>35 727,7</w:t>
            </w:r>
          </w:p>
        </w:tc>
        <w:tc>
          <w:tcPr>
            <w:tcW w:w="992" w:type="dxa"/>
            <w:vAlign w:val="center"/>
          </w:tcPr>
          <w:p w:rsidR="00C04028" w:rsidRPr="003611B6" w:rsidRDefault="00C04028" w:rsidP="00673351">
            <w:pPr>
              <w:jc w:val="center"/>
              <w:rPr>
                <w:rFonts w:ascii="Times New Roman" w:hAnsi="Times New Roman" w:cs="Times New Roman"/>
                <w:b/>
                <w:sz w:val="20"/>
                <w:szCs w:val="20"/>
              </w:rPr>
            </w:pPr>
            <w:r w:rsidRPr="003611B6">
              <w:rPr>
                <w:rFonts w:ascii="Times New Roman" w:hAnsi="Times New Roman" w:cs="Times New Roman"/>
                <w:b/>
                <w:sz w:val="20"/>
                <w:szCs w:val="20"/>
              </w:rPr>
              <w:t>34 183,9</w:t>
            </w:r>
          </w:p>
        </w:tc>
        <w:tc>
          <w:tcPr>
            <w:tcW w:w="850" w:type="dxa"/>
            <w:vAlign w:val="center"/>
          </w:tcPr>
          <w:p w:rsidR="00C04028" w:rsidRPr="003611B6" w:rsidRDefault="00C04028" w:rsidP="00673351">
            <w:pPr>
              <w:jc w:val="center"/>
              <w:rPr>
                <w:rFonts w:ascii="Times New Roman" w:hAnsi="Times New Roman" w:cs="Times New Roman"/>
                <w:b/>
                <w:sz w:val="20"/>
                <w:szCs w:val="20"/>
              </w:rPr>
            </w:pPr>
            <w:r w:rsidRPr="003611B6">
              <w:rPr>
                <w:rFonts w:ascii="Times New Roman" w:hAnsi="Times New Roman" w:cs="Times New Roman"/>
                <w:b/>
                <w:sz w:val="20"/>
                <w:szCs w:val="20"/>
              </w:rPr>
              <w:t>-1543,8</w:t>
            </w:r>
          </w:p>
        </w:tc>
        <w:tc>
          <w:tcPr>
            <w:tcW w:w="709" w:type="dxa"/>
            <w:vAlign w:val="center"/>
          </w:tcPr>
          <w:p w:rsidR="00C04028" w:rsidRPr="003611B6" w:rsidRDefault="00C04028" w:rsidP="00673351">
            <w:pPr>
              <w:jc w:val="center"/>
              <w:rPr>
                <w:rFonts w:ascii="Times New Roman" w:hAnsi="Times New Roman" w:cs="Times New Roman"/>
                <w:b/>
                <w:sz w:val="20"/>
                <w:szCs w:val="20"/>
              </w:rPr>
            </w:pPr>
            <w:r w:rsidRPr="003611B6">
              <w:rPr>
                <w:rFonts w:ascii="Times New Roman" w:hAnsi="Times New Roman" w:cs="Times New Roman"/>
                <w:b/>
                <w:sz w:val="20"/>
                <w:szCs w:val="20"/>
              </w:rPr>
              <w:t>95,7</w:t>
            </w:r>
          </w:p>
        </w:tc>
        <w:tc>
          <w:tcPr>
            <w:tcW w:w="851" w:type="dxa"/>
            <w:vAlign w:val="center"/>
          </w:tcPr>
          <w:p w:rsidR="00C04028" w:rsidRPr="003611B6" w:rsidRDefault="00C04028" w:rsidP="00673351">
            <w:pPr>
              <w:jc w:val="center"/>
              <w:rPr>
                <w:rFonts w:ascii="Times New Roman" w:hAnsi="Times New Roman" w:cs="Times New Roman"/>
                <w:b/>
                <w:sz w:val="20"/>
                <w:szCs w:val="20"/>
              </w:rPr>
            </w:pPr>
            <w:r w:rsidRPr="003611B6">
              <w:rPr>
                <w:rFonts w:ascii="Times New Roman" w:hAnsi="Times New Roman" w:cs="Times New Roman"/>
                <w:b/>
                <w:sz w:val="20"/>
                <w:szCs w:val="20"/>
              </w:rPr>
              <w:t>1784,5</w:t>
            </w:r>
          </w:p>
        </w:tc>
        <w:tc>
          <w:tcPr>
            <w:tcW w:w="708" w:type="dxa"/>
            <w:vAlign w:val="center"/>
          </w:tcPr>
          <w:p w:rsidR="00C04028" w:rsidRPr="003611B6" w:rsidRDefault="00C04028" w:rsidP="00673351">
            <w:pPr>
              <w:jc w:val="center"/>
              <w:rPr>
                <w:rFonts w:ascii="Times New Roman" w:hAnsi="Times New Roman" w:cs="Times New Roman"/>
                <w:b/>
                <w:sz w:val="20"/>
                <w:szCs w:val="20"/>
                <w:lang w:val="ky-KG"/>
              </w:rPr>
            </w:pPr>
            <w:r w:rsidRPr="003611B6">
              <w:rPr>
                <w:rFonts w:ascii="Times New Roman" w:hAnsi="Times New Roman" w:cs="Times New Roman"/>
                <w:b/>
                <w:sz w:val="20"/>
                <w:szCs w:val="20"/>
              </w:rPr>
              <w:t>105,5</w:t>
            </w:r>
          </w:p>
        </w:tc>
      </w:tr>
    </w:tbl>
    <w:p w:rsidR="00BF3B40" w:rsidRPr="003611B6" w:rsidRDefault="00BF3B40" w:rsidP="00DB0DE1">
      <w:pPr>
        <w:spacing w:after="0" w:line="240" w:lineRule="auto"/>
        <w:ind w:firstLine="708"/>
        <w:jc w:val="both"/>
        <w:rPr>
          <w:rFonts w:ascii="Times New Roman" w:hAnsi="Times New Roman" w:cs="Times New Roman"/>
          <w:sz w:val="12"/>
          <w:szCs w:val="24"/>
          <w:lang w:val="ky-KG"/>
        </w:rPr>
      </w:pPr>
    </w:p>
    <w:p w:rsidR="00BF3B40" w:rsidRDefault="00BF3B40" w:rsidP="00DB0DE1">
      <w:pPr>
        <w:spacing w:after="0" w:line="240" w:lineRule="auto"/>
        <w:ind w:firstLine="708"/>
        <w:jc w:val="both"/>
        <w:rPr>
          <w:rFonts w:ascii="Times New Roman" w:hAnsi="Times New Roman" w:cs="Times New Roman"/>
          <w:sz w:val="12"/>
          <w:szCs w:val="24"/>
          <w:lang w:val="ky-KG"/>
        </w:rPr>
      </w:pPr>
      <w:r w:rsidRPr="003611B6">
        <w:rPr>
          <w:rFonts w:ascii="Times New Roman" w:hAnsi="Times New Roman" w:cs="Times New Roman"/>
          <w:noProof/>
          <w:sz w:val="24"/>
          <w:szCs w:val="24"/>
          <w:lang w:eastAsia="ru-RU"/>
        </w:rPr>
        <w:drawing>
          <wp:inline distT="0" distB="0" distL="0" distR="0" wp14:anchorId="1F264DB5" wp14:editId="1B7FE52F">
            <wp:extent cx="5200650" cy="27051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D0A05" w:rsidRDefault="00FD0A05" w:rsidP="00DB0DE1">
      <w:pPr>
        <w:spacing w:after="0" w:line="240" w:lineRule="auto"/>
        <w:ind w:firstLine="708"/>
        <w:jc w:val="both"/>
        <w:rPr>
          <w:rFonts w:ascii="Times New Roman" w:hAnsi="Times New Roman" w:cs="Times New Roman"/>
          <w:sz w:val="12"/>
          <w:szCs w:val="24"/>
          <w:lang w:val="ky-KG"/>
        </w:rPr>
      </w:pPr>
    </w:p>
    <w:p w:rsidR="00FD0A05" w:rsidRDefault="00FD0A05" w:rsidP="00DB0DE1">
      <w:pPr>
        <w:spacing w:after="0" w:line="240" w:lineRule="auto"/>
        <w:ind w:firstLine="708"/>
        <w:jc w:val="both"/>
        <w:rPr>
          <w:rFonts w:ascii="Times New Roman" w:hAnsi="Times New Roman" w:cs="Times New Roman"/>
          <w:sz w:val="12"/>
          <w:szCs w:val="24"/>
          <w:lang w:val="ky-KG"/>
        </w:rPr>
      </w:pPr>
    </w:p>
    <w:p w:rsidR="00FD0A05" w:rsidRPr="003611B6" w:rsidRDefault="00FD0A05" w:rsidP="00DB0DE1">
      <w:pPr>
        <w:spacing w:after="0" w:line="240" w:lineRule="auto"/>
        <w:ind w:firstLine="708"/>
        <w:jc w:val="both"/>
        <w:rPr>
          <w:rFonts w:ascii="Times New Roman" w:hAnsi="Times New Roman" w:cs="Times New Roman"/>
          <w:sz w:val="12"/>
          <w:szCs w:val="24"/>
          <w:lang w:val="ky-KG"/>
        </w:rPr>
      </w:pPr>
    </w:p>
    <w:p w:rsidR="00BF3B40" w:rsidRPr="003611B6" w:rsidRDefault="00BF3B40" w:rsidP="00DB0DE1">
      <w:pPr>
        <w:spacing w:after="0" w:line="240" w:lineRule="auto"/>
        <w:jc w:val="right"/>
        <w:rPr>
          <w:rFonts w:ascii="Times New Roman" w:hAnsi="Times New Roman" w:cs="Times New Roman"/>
          <w:sz w:val="24"/>
          <w:szCs w:val="24"/>
          <w:lang w:val="ky-KG"/>
        </w:rPr>
      </w:pPr>
      <w:r w:rsidRPr="003611B6">
        <w:rPr>
          <w:rFonts w:ascii="Times New Roman" w:hAnsi="Times New Roman" w:cs="Times New Roman"/>
          <w:sz w:val="24"/>
          <w:szCs w:val="24"/>
          <w:lang w:val="ky-KG"/>
        </w:rPr>
        <w:t xml:space="preserve"> (млн. сом)</w:t>
      </w:r>
    </w:p>
    <w:tbl>
      <w:tblPr>
        <w:tblStyle w:val="a4"/>
        <w:tblW w:w="10765" w:type="dxa"/>
        <w:tblInd w:w="-1126" w:type="dxa"/>
        <w:tblLayout w:type="fixed"/>
        <w:tblLook w:val="04A0" w:firstRow="1" w:lastRow="0" w:firstColumn="1" w:lastColumn="0" w:noHBand="0" w:noVBand="1"/>
      </w:tblPr>
      <w:tblGrid>
        <w:gridCol w:w="2235"/>
        <w:gridCol w:w="1134"/>
        <w:gridCol w:w="1134"/>
        <w:gridCol w:w="1134"/>
        <w:gridCol w:w="1126"/>
        <w:gridCol w:w="8"/>
        <w:gridCol w:w="1409"/>
        <w:gridCol w:w="1000"/>
        <w:gridCol w:w="851"/>
        <w:gridCol w:w="734"/>
      </w:tblGrid>
      <w:tr w:rsidR="00FD0A05" w:rsidRPr="003611B6" w:rsidTr="00FD0A05">
        <w:tc>
          <w:tcPr>
            <w:tcW w:w="2235" w:type="dxa"/>
            <w:vMerge w:val="restart"/>
            <w:tcBorders>
              <w:top w:val="single" w:sz="4" w:space="0" w:color="auto"/>
              <w:left w:val="single" w:sz="4" w:space="0" w:color="auto"/>
              <w:bottom w:val="single" w:sz="4" w:space="0" w:color="auto"/>
              <w:right w:val="single" w:sz="4" w:space="0" w:color="auto"/>
            </w:tcBorders>
          </w:tcPr>
          <w:p w:rsidR="00FD0A05" w:rsidRPr="003611B6" w:rsidRDefault="00FD0A05" w:rsidP="00DB0DE1">
            <w:pPr>
              <w:spacing w:after="0" w:line="240" w:lineRule="auto"/>
              <w:jc w:val="both"/>
              <w:rPr>
                <w:rFonts w:ascii="Times New Roman" w:hAnsi="Times New Roman" w:cs="Times New Roman"/>
                <w:sz w:val="24"/>
                <w:szCs w:val="24"/>
                <w:lang w:val="ky-KG"/>
              </w:rPr>
            </w:pPr>
          </w:p>
          <w:p w:rsidR="00FD0A05" w:rsidRPr="003611B6" w:rsidRDefault="00FD0A05" w:rsidP="00DB0DE1">
            <w:pPr>
              <w:spacing w:after="0" w:line="240" w:lineRule="auto"/>
              <w:jc w:val="center"/>
              <w:rPr>
                <w:rFonts w:ascii="Times New Roman" w:hAnsi="Times New Roman" w:cs="Times New Roman"/>
                <w:sz w:val="24"/>
                <w:szCs w:val="24"/>
                <w:lang w:val="ky-KG"/>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D0A05" w:rsidRPr="003611B6" w:rsidRDefault="00FD0A05" w:rsidP="00035EBC">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 xml:space="preserve">2019-ж.  </w:t>
            </w:r>
            <w:r w:rsidRPr="003611B6">
              <w:rPr>
                <w:rFonts w:ascii="Times New Roman" w:eastAsia="Times New Roman" w:hAnsi="Times New Roman" w:cs="Times New Roman"/>
                <w:b/>
                <w:sz w:val="20"/>
                <w:szCs w:val="20"/>
                <w:lang w:val="ky-KG" w:eastAsia="ru-RU"/>
              </w:rPr>
              <w:t>анык</w:t>
            </w:r>
          </w:p>
        </w:tc>
        <w:tc>
          <w:tcPr>
            <w:tcW w:w="1134" w:type="dxa"/>
            <w:vMerge w:val="restart"/>
            <w:tcBorders>
              <w:top w:val="single" w:sz="4" w:space="0" w:color="auto"/>
              <w:left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2020-жыл</w:t>
            </w:r>
          </w:p>
          <w:p w:rsidR="00FD0A05" w:rsidRPr="003611B6" w:rsidRDefault="00FD0A05"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бекитил-ген</w:t>
            </w:r>
          </w:p>
        </w:tc>
        <w:tc>
          <w:tcPr>
            <w:tcW w:w="1134" w:type="dxa"/>
            <w:vMerge w:val="restart"/>
            <w:tcBorders>
              <w:top w:val="single" w:sz="4" w:space="0" w:color="auto"/>
              <w:left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2020-жыл</w:t>
            </w:r>
          </w:p>
          <w:p w:rsidR="00FD0A05" w:rsidRPr="003611B6" w:rsidRDefault="00FD0A05" w:rsidP="00DB0DE1">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тактал-ган</w:t>
            </w:r>
          </w:p>
        </w:tc>
        <w:tc>
          <w:tcPr>
            <w:tcW w:w="1134" w:type="dxa"/>
            <w:gridSpan w:val="2"/>
            <w:tcBorders>
              <w:top w:val="single" w:sz="4" w:space="0" w:color="auto"/>
              <w:left w:val="single" w:sz="4" w:space="0" w:color="auto"/>
              <w:right w:val="single" w:sz="4" w:space="0" w:color="auto"/>
            </w:tcBorders>
          </w:tcPr>
          <w:p w:rsidR="00FD0A05" w:rsidRPr="003611B6" w:rsidRDefault="00FD0A05" w:rsidP="00FD0A05">
            <w:pPr>
              <w:spacing w:after="0" w:line="240" w:lineRule="auto"/>
              <w:jc w:val="center"/>
              <w:rPr>
                <w:rFonts w:ascii="Times New Roman" w:eastAsia="Times New Roman" w:hAnsi="Times New Roman" w:cs="Times New Roman"/>
                <w:b/>
                <w:sz w:val="20"/>
                <w:szCs w:val="20"/>
                <w:lang w:val="ky-KG" w:eastAsia="ru-RU"/>
              </w:rPr>
            </w:pPr>
            <w:r w:rsidRPr="00FD0A05">
              <w:rPr>
                <w:rFonts w:ascii="Times New Roman" w:eastAsia="Times New Roman" w:hAnsi="Times New Roman" w:cs="Times New Roman"/>
                <w:b/>
                <w:sz w:val="20"/>
                <w:szCs w:val="20"/>
                <w:lang w:val="ky-KG" w:eastAsia="ru-RU"/>
              </w:rPr>
              <w:t>Үлүш</w:t>
            </w:r>
          </w:p>
        </w:tc>
        <w:tc>
          <w:tcPr>
            <w:tcW w:w="2409" w:type="dxa"/>
            <w:gridSpan w:val="2"/>
            <w:tcBorders>
              <w:top w:val="single" w:sz="4" w:space="0" w:color="auto"/>
              <w:left w:val="single" w:sz="4" w:space="0" w:color="auto"/>
              <w:right w:val="single" w:sz="4" w:space="0" w:color="auto"/>
            </w:tcBorders>
            <w:vAlign w:val="center"/>
          </w:tcPr>
          <w:p w:rsidR="00FD0A05" w:rsidRPr="003611B6" w:rsidRDefault="00FD0A05" w:rsidP="00035EBC">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Times New Roman" w:hAnsi="Times New Roman" w:cs="Times New Roman"/>
                <w:b/>
                <w:sz w:val="20"/>
                <w:szCs w:val="20"/>
                <w:lang w:val="ky-KG" w:eastAsia="ru-RU"/>
              </w:rPr>
              <w:t>2020-ж. бекит. карата өсүш</w:t>
            </w:r>
          </w:p>
        </w:tc>
        <w:tc>
          <w:tcPr>
            <w:tcW w:w="1585" w:type="dxa"/>
            <w:gridSpan w:val="2"/>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035EBC">
            <w:pPr>
              <w:spacing w:after="0" w:line="240" w:lineRule="auto"/>
              <w:jc w:val="center"/>
              <w:rPr>
                <w:rFonts w:ascii="Times New Roman" w:hAnsi="Times New Roman" w:cs="Times New Roman"/>
                <w:b/>
                <w:sz w:val="20"/>
                <w:szCs w:val="20"/>
                <w:lang w:val="ky-KG"/>
              </w:rPr>
            </w:pPr>
            <w:r w:rsidRPr="003611B6">
              <w:rPr>
                <w:rFonts w:ascii="Times New Roman" w:eastAsia="Times New Roman" w:hAnsi="Times New Roman" w:cs="Times New Roman"/>
                <w:b/>
                <w:sz w:val="20"/>
                <w:szCs w:val="20"/>
                <w:lang w:val="ky-KG" w:eastAsia="ru-RU"/>
              </w:rPr>
              <w:t>2019-ж. карата өсүш</w:t>
            </w:r>
          </w:p>
        </w:tc>
      </w:tr>
      <w:tr w:rsidR="00FD0A05" w:rsidRPr="003611B6" w:rsidTr="00FD0A05">
        <w:tc>
          <w:tcPr>
            <w:tcW w:w="2235" w:type="dxa"/>
            <w:vMerge/>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DB0DE1">
            <w:pPr>
              <w:spacing w:after="0" w:line="240" w:lineRule="auto"/>
              <w:rPr>
                <w:rFonts w:ascii="Times New Roman" w:hAnsi="Times New Roman" w:cs="Times New Roman"/>
                <w:sz w:val="24"/>
                <w:szCs w:val="24"/>
                <w:lang w:val="ky-KG"/>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DB0DE1">
            <w:pPr>
              <w:spacing w:after="0" w:line="240" w:lineRule="auto"/>
              <w:rPr>
                <w:rFonts w:ascii="Times New Roman" w:hAnsi="Times New Roman" w:cs="Times New Roman"/>
                <w:sz w:val="20"/>
                <w:szCs w:val="20"/>
                <w:lang w:val="ky-KG"/>
              </w:rPr>
            </w:pPr>
          </w:p>
        </w:tc>
        <w:tc>
          <w:tcPr>
            <w:tcW w:w="1134" w:type="dxa"/>
            <w:vMerge/>
            <w:tcBorders>
              <w:left w:val="single" w:sz="4" w:space="0" w:color="auto"/>
              <w:bottom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hAnsi="Times New Roman" w:cs="Times New Roman"/>
                <w:sz w:val="20"/>
                <w:szCs w:val="20"/>
                <w:lang w:val="ky-KG"/>
              </w:rPr>
            </w:pPr>
          </w:p>
        </w:tc>
        <w:tc>
          <w:tcPr>
            <w:tcW w:w="1134" w:type="dxa"/>
            <w:vMerge/>
            <w:tcBorders>
              <w:left w:val="single" w:sz="4" w:space="0" w:color="auto"/>
              <w:bottom w:val="single" w:sz="4" w:space="0" w:color="auto"/>
              <w:right w:val="single" w:sz="4" w:space="0" w:color="auto"/>
            </w:tcBorders>
            <w:vAlign w:val="center"/>
          </w:tcPr>
          <w:p w:rsidR="00FD0A05" w:rsidRPr="003611B6" w:rsidRDefault="00FD0A05" w:rsidP="00DB0DE1">
            <w:pPr>
              <w:spacing w:after="0" w:line="240" w:lineRule="auto"/>
              <w:rPr>
                <w:rFonts w:ascii="Times New Roman" w:hAnsi="Times New Roman" w:cs="Times New Roman"/>
                <w:sz w:val="20"/>
                <w:szCs w:val="20"/>
                <w:lang w:val="ky-KG"/>
              </w:rPr>
            </w:pPr>
          </w:p>
        </w:tc>
        <w:tc>
          <w:tcPr>
            <w:tcW w:w="1126" w:type="dxa"/>
            <w:tcBorders>
              <w:left w:val="single" w:sz="4" w:space="0" w:color="auto"/>
              <w:bottom w:val="single" w:sz="4" w:space="0" w:color="auto"/>
              <w:right w:val="single" w:sz="4" w:space="0" w:color="auto"/>
            </w:tcBorders>
          </w:tcPr>
          <w:p w:rsidR="00FD0A05" w:rsidRPr="003611B6" w:rsidRDefault="00FD0A05" w:rsidP="00DB0DE1">
            <w:pPr>
              <w:spacing w:after="0" w:line="240" w:lineRule="auto"/>
              <w:jc w:val="center"/>
              <w:rPr>
                <w:rFonts w:ascii="Times New Roman" w:hAnsi="Times New Roman" w:cs="Times New Roman"/>
                <w:b/>
                <w:sz w:val="20"/>
                <w:szCs w:val="20"/>
                <w:lang w:val="ky-KG"/>
              </w:rPr>
            </w:pPr>
            <w:r w:rsidRPr="00FD0A05">
              <w:rPr>
                <w:rFonts w:ascii="Times New Roman" w:eastAsia="Times New Roman" w:hAnsi="Times New Roman" w:cs="Times New Roman"/>
                <w:b/>
                <w:sz w:val="20"/>
                <w:szCs w:val="20"/>
                <w:lang w:val="ky-KG" w:eastAsia="ru-RU"/>
              </w:rPr>
              <w:t>%</w:t>
            </w:r>
          </w:p>
        </w:tc>
        <w:tc>
          <w:tcPr>
            <w:tcW w:w="1417" w:type="dxa"/>
            <w:gridSpan w:val="2"/>
            <w:tcBorders>
              <w:left w:val="single" w:sz="4" w:space="0" w:color="auto"/>
              <w:bottom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w:t>
            </w:r>
          </w:p>
        </w:tc>
        <w:tc>
          <w:tcPr>
            <w:tcW w:w="1000" w:type="dxa"/>
            <w:tcBorders>
              <w:left w:val="single" w:sz="4" w:space="0" w:color="auto"/>
              <w:bottom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DB0DE1">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sz w:val="20"/>
                <w:szCs w:val="20"/>
                <w:lang w:val="ky-KG"/>
              </w:rPr>
            </w:pPr>
            <w:r w:rsidRPr="003611B6">
              <w:rPr>
                <w:rFonts w:ascii="Times New Roman" w:eastAsia="Times New Roman" w:hAnsi="Times New Roman" w:cs="Times New Roman"/>
                <w:bCs/>
                <w:sz w:val="20"/>
                <w:szCs w:val="20"/>
                <w:lang w:val="ky-KG" w:eastAsia="ru-RU"/>
              </w:rPr>
              <w:t>Өнөр жай ишканалары жана  уюмдары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18489,1</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19961,7</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18845,4</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ind w:right="-44"/>
              <w:jc w:val="center"/>
              <w:rPr>
                <w:rFonts w:ascii="Times New Roman" w:hAnsi="Times New Roman" w:cs="Times New Roman"/>
                <w:sz w:val="20"/>
                <w:szCs w:val="20"/>
                <w:lang w:val="ky-KG"/>
              </w:rPr>
            </w:pPr>
            <w:r>
              <w:rPr>
                <w:rFonts w:ascii="Times New Roman" w:hAnsi="Times New Roman" w:cs="Times New Roman"/>
                <w:sz w:val="20"/>
                <w:szCs w:val="20"/>
                <w:lang w:val="ky-KG"/>
              </w:rPr>
              <w:t>54,2</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ind w:right="-44"/>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-1116,3</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94,4</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356,3</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101,9</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Бюджеттик уюмдар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12536,6</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14310,3</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14020,7</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jc w:val="center"/>
              <w:rPr>
                <w:rFonts w:ascii="Times New Roman" w:hAnsi="Times New Roman" w:cs="Times New Roman"/>
                <w:sz w:val="20"/>
                <w:szCs w:val="20"/>
                <w:lang w:val="ky-KG"/>
              </w:rPr>
            </w:pPr>
            <w:r>
              <w:rPr>
                <w:rFonts w:ascii="Times New Roman" w:hAnsi="Times New Roman" w:cs="Times New Roman"/>
                <w:sz w:val="20"/>
                <w:szCs w:val="20"/>
                <w:lang w:val="ky-KG"/>
              </w:rPr>
              <w:t>41,6</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-289,6</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98,0</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1484,1</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111,8</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А/Ч кооперативдери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18,4</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23,7</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18,4</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jc w:val="center"/>
              <w:rPr>
                <w:rFonts w:ascii="Times New Roman" w:hAnsi="Times New Roman" w:cs="Times New Roman"/>
                <w:sz w:val="20"/>
                <w:szCs w:val="20"/>
                <w:lang w:val="ky-KG"/>
              </w:rPr>
            </w:pPr>
            <w:r>
              <w:rPr>
                <w:rFonts w:ascii="Times New Roman" w:hAnsi="Times New Roman" w:cs="Times New Roman"/>
                <w:sz w:val="20"/>
                <w:szCs w:val="20"/>
                <w:lang w:val="ky-KG"/>
              </w:rPr>
              <w:t>0,1</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-5,3</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77,6</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0,0</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100,0</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ДФЧ</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263,4</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369</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290,2</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jc w:val="center"/>
              <w:rPr>
                <w:rFonts w:ascii="Times New Roman" w:hAnsi="Times New Roman" w:cs="Times New Roman"/>
                <w:sz w:val="20"/>
                <w:szCs w:val="20"/>
                <w:lang w:val="ky-KG"/>
              </w:rPr>
            </w:pPr>
            <w:r>
              <w:rPr>
                <w:rFonts w:ascii="Times New Roman" w:hAnsi="Times New Roman" w:cs="Times New Roman"/>
                <w:sz w:val="20"/>
                <w:szCs w:val="20"/>
                <w:lang w:val="ky-KG"/>
              </w:rPr>
              <w:t>0,8</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-78,8</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78,6</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26,8</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110,2</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ЖИ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1043,2</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992,6</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jc w:val="center"/>
              <w:rPr>
                <w:rFonts w:ascii="Times New Roman" w:hAnsi="Times New Roman" w:cs="Times New Roman"/>
                <w:sz w:val="20"/>
                <w:szCs w:val="20"/>
                <w:lang w:val="ky-KG"/>
              </w:rPr>
            </w:pPr>
            <w:r>
              <w:rPr>
                <w:rFonts w:ascii="Times New Roman" w:hAnsi="Times New Roman" w:cs="Times New Roman"/>
                <w:sz w:val="20"/>
                <w:szCs w:val="20"/>
                <w:lang w:val="ky-KG"/>
              </w:rPr>
              <w:t>3,3</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-50,6</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95,1</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-83,5</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92,2</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Жеңилдик берилген уюмдар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15,7</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19,7</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16,7</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jc w:val="center"/>
              <w:rPr>
                <w:rFonts w:ascii="Times New Roman" w:hAnsi="Times New Roman" w:cs="Times New Roman"/>
                <w:sz w:val="20"/>
                <w:szCs w:val="20"/>
                <w:lang w:val="ky-KG"/>
              </w:rPr>
            </w:pPr>
            <w:r>
              <w:rPr>
                <w:rFonts w:ascii="Times New Roman" w:hAnsi="Times New Roman" w:cs="Times New Roman"/>
                <w:sz w:val="20"/>
                <w:szCs w:val="20"/>
                <w:lang w:val="ky-KG"/>
              </w:rPr>
              <w:t>0,04</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-3,0</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84,8</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106,4</w:t>
            </w:r>
          </w:p>
        </w:tc>
      </w:tr>
      <w:tr w:rsidR="00FD0A05" w:rsidRPr="003611B6" w:rsidTr="00FD0A05">
        <w:tc>
          <w:tcPr>
            <w:tcW w:w="2235" w:type="dxa"/>
            <w:tcBorders>
              <w:top w:val="single" w:sz="4" w:space="0" w:color="auto"/>
              <w:left w:val="single" w:sz="4" w:space="0" w:color="auto"/>
              <w:bottom w:val="single" w:sz="4" w:space="0" w:color="auto"/>
              <w:right w:val="single" w:sz="4" w:space="0" w:color="auto"/>
            </w:tcBorders>
            <w:hideMark/>
          </w:tcPr>
          <w:p w:rsidR="00FD0A05" w:rsidRPr="003611B6" w:rsidRDefault="00FD0A05" w:rsidP="00DB0DE1">
            <w:pPr>
              <w:spacing w:after="0" w:line="240" w:lineRule="auto"/>
              <w:jc w:val="both"/>
              <w:rPr>
                <w:rFonts w:ascii="Times New Roman" w:hAnsi="Times New Roman" w:cs="Times New Roman"/>
                <w:b/>
                <w:sz w:val="20"/>
                <w:szCs w:val="20"/>
                <w:lang w:val="ky-KG"/>
              </w:rPr>
            </w:pPr>
            <w:r w:rsidRPr="003611B6">
              <w:rPr>
                <w:rFonts w:ascii="Times New Roman" w:hAnsi="Times New Roman" w:cs="Times New Roman"/>
                <w:b/>
                <w:sz w:val="20"/>
                <w:szCs w:val="20"/>
                <w:lang w:val="ky-KG"/>
              </w:rPr>
              <w:t xml:space="preserve">Бардыгы  </w:t>
            </w:r>
          </w:p>
        </w:tc>
        <w:tc>
          <w:tcPr>
            <w:tcW w:w="1134" w:type="dxa"/>
            <w:tcBorders>
              <w:top w:val="single" w:sz="4" w:space="0" w:color="auto"/>
              <w:left w:val="single" w:sz="4" w:space="0" w:color="auto"/>
              <w:bottom w:val="single" w:sz="4" w:space="0" w:color="auto"/>
              <w:right w:val="single" w:sz="4" w:space="0" w:color="auto"/>
            </w:tcBorders>
            <w:vAlign w:val="center"/>
            <w:hideMark/>
          </w:tcPr>
          <w:p w:rsidR="00FD0A05" w:rsidRPr="00FD0A05" w:rsidRDefault="00FD0A05" w:rsidP="00FD0A05">
            <w:pPr>
              <w:jc w:val="center"/>
              <w:rPr>
                <w:rFonts w:ascii="Times New Roman" w:hAnsi="Times New Roman" w:cs="Times New Roman"/>
                <w:b/>
                <w:bCs/>
                <w:sz w:val="20"/>
                <w:szCs w:val="20"/>
                <w:lang w:val="ky-KG"/>
              </w:rPr>
            </w:pPr>
            <w:r w:rsidRPr="003611B6">
              <w:rPr>
                <w:rFonts w:ascii="Times New Roman" w:hAnsi="Times New Roman" w:cs="Times New Roman"/>
                <w:b/>
                <w:bCs/>
                <w:sz w:val="20"/>
                <w:szCs w:val="20"/>
              </w:rPr>
              <w:t>32399,</w:t>
            </w:r>
            <w:r>
              <w:rPr>
                <w:rFonts w:ascii="Times New Roman" w:hAnsi="Times New Roman" w:cs="Times New Roman"/>
                <w:b/>
                <w:bCs/>
                <w:sz w:val="20"/>
                <w:szCs w:val="20"/>
                <w:lang w:val="ky-KG"/>
              </w:rPr>
              <w:t>4</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FD0A05" w:rsidRDefault="00FD0A05" w:rsidP="00FD0A05">
            <w:pPr>
              <w:jc w:val="center"/>
              <w:rPr>
                <w:rFonts w:ascii="Times New Roman" w:hAnsi="Times New Roman" w:cs="Times New Roman"/>
                <w:b/>
                <w:bCs/>
                <w:sz w:val="20"/>
                <w:szCs w:val="20"/>
                <w:lang w:val="ky-KG"/>
              </w:rPr>
            </w:pPr>
            <w:r w:rsidRPr="003611B6">
              <w:rPr>
                <w:rFonts w:ascii="Times New Roman" w:hAnsi="Times New Roman" w:cs="Times New Roman"/>
                <w:b/>
                <w:bCs/>
                <w:sz w:val="20"/>
                <w:szCs w:val="20"/>
              </w:rPr>
              <w:t>35727,</w:t>
            </w:r>
            <w:r>
              <w:rPr>
                <w:rFonts w:ascii="Times New Roman" w:hAnsi="Times New Roman" w:cs="Times New Roman"/>
                <w:b/>
                <w:bCs/>
                <w:sz w:val="20"/>
                <w:szCs w:val="20"/>
                <w:lang w:val="ky-KG"/>
              </w:rPr>
              <w:t>7</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FD0A05">
            <w:pPr>
              <w:jc w:val="center"/>
              <w:rPr>
                <w:rFonts w:ascii="Times New Roman" w:hAnsi="Times New Roman" w:cs="Times New Roman"/>
                <w:b/>
                <w:bCs/>
                <w:sz w:val="20"/>
                <w:szCs w:val="20"/>
                <w:lang w:val="ky-KG"/>
              </w:rPr>
            </w:pPr>
            <w:r w:rsidRPr="003611B6">
              <w:rPr>
                <w:rFonts w:ascii="Times New Roman" w:hAnsi="Times New Roman" w:cs="Times New Roman"/>
                <w:b/>
                <w:bCs/>
                <w:sz w:val="20"/>
                <w:szCs w:val="20"/>
                <w:lang w:val="ky-KG"/>
              </w:rPr>
              <w:t>341</w:t>
            </w:r>
            <w:r>
              <w:rPr>
                <w:rFonts w:ascii="Times New Roman" w:hAnsi="Times New Roman" w:cs="Times New Roman"/>
                <w:b/>
                <w:bCs/>
                <w:sz w:val="20"/>
                <w:szCs w:val="20"/>
                <w:lang w:val="ky-KG"/>
              </w:rPr>
              <w:t>39,9</w:t>
            </w:r>
          </w:p>
        </w:tc>
        <w:tc>
          <w:tcPr>
            <w:tcW w:w="1126" w:type="dxa"/>
            <w:tcBorders>
              <w:top w:val="single" w:sz="4" w:space="0" w:color="auto"/>
              <w:left w:val="single" w:sz="4" w:space="0" w:color="auto"/>
              <w:bottom w:val="single" w:sz="4" w:space="0" w:color="auto"/>
              <w:right w:val="single" w:sz="4" w:space="0" w:color="auto"/>
            </w:tcBorders>
          </w:tcPr>
          <w:p w:rsidR="00FD0A05" w:rsidRPr="003611B6" w:rsidRDefault="00FD0A05" w:rsidP="00673351">
            <w:pPr>
              <w:jc w:val="center"/>
              <w:rPr>
                <w:rFonts w:ascii="Times New Roman" w:hAnsi="Times New Roman" w:cs="Times New Roman"/>
                <w:b/>
                <w:sz w:val="20"/>
                <w:szCs w:val="20"/>
                <w:lang w:val="ky-KG"/>
              </w:rPr>
            </w:pPr>
            <w:r>
              <w:rPr>
                <w:rFonts w:ascii="Times New Roman" w:hAnsi="Times New Roman" w:cs="Times New Roman"/>
                <w:b/>
                <w:sz w:val="20"/>
                <w:szCs w:val="20"/>
                <w:lang w:val="ky-KG"/>
              </w:rPr>
              <w:t>100,0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-1543,6</w:t>
            </w:r>
          </w:p>
        </w:tc>
        <w:tc>
          <w:tcPr>
            <w:tcW w:w="1000"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95,7</w:t>
            </w:r>
          </w:p>
        </w:tc>
        <w:tc>
          <w:tcPr>
            <w:tcW w:w="851"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FD0A05">
            <w:pPr>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1784,</w:t>
            </w:r>
            <w:r>
              <w:rPr>
                <w:rFonts w:ascii="Times New Roman" w:hAnsi="Times New Roman" w:cs="Times New Roman"/>
                <w:b/>
                <w:sz w:val="20"/>
                <w:szCs w:val="20"/>
                <w:lang w:val="ky-KG"/>
              </w:rPr>
              <w:t>5</w:t>
            </w:r>
          </w:p>
        </w:tc>
        <w:tc>
          <w:tcPr>
            <w:tcW w:w="7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105,5</w:t>
            </w:r>
          </w:p>
        </w:tc>
      </w:tr>
    </w:tbl>
    <w:p w:rsidR="00FD0A05" w:rsidRDefault="00FD0A05" w:rsidP="00DB0DE1">
      <w:pPr>
        <w:spacing w:after="0" w:line="240" w:lineRule="auto"/>
        <w:jc w:val="both"/>
        <w:rPr>
          <w:rFonts w:ascii="Times New Roman" w:eastAsia="Times New Roman" w:hAnsi="Times New Roman" w:cs="Times New Roman"/>
          <w:sz w:val="24"/>
          <w:szCs w:val="24"/>
          <w:lang w:val="ky-KG" w:eastAsia="ru-RU"/>
        </w:rPr>
      </w:pPr>
    </w:p>
    <w:p w:rsidR="00FD0A05" w:rsidRDefault="00FD0A05" w:rsidP="00DB0DE1">
      <w:pPr>
        <w:spacing w:after="0" w:line="240" w:lineRule="auto"/>
        <w:jc w:val="both"/>
        <w:rPr>
          <w:rFonts w:ascii="Times New Roman" w:eastAsia="Times New Roman" w:hAnsi="Times New Roman" w:cs="Times New Roman"/>
          <w:sz w:val="24"/>
          <w:szCs w:val="24"/>
          <w:lang w:val="ky-KG" w:eastAsia="ru-RU"/>
        </w:rPr>
      </w:pPr>
    </w:p>
    <w:p w:rsidR="00FD0A05" w:rsidRPr="003611B6" w:rsidRDefault="00FD0A05" w:rsidP="00DB0DE1">
      <w:pPr>
        <w:spacing w:after="0" w:line="240" w:lineRule="auto"/>
        <w:jc w:val="both"/>
        <w:rPr>
          <w:rFonts w:ascii="Times New Roman" w:eastAsia="Times New Roman" w:hAnsi="Times New Roman" w:cs="Times New Roman"/>
          <w:sz w:val="24"/>
          <w:szCs w:val="24"/>
          <w:lang w:val="ky-KG" w:eastAsia="ru-RU"/>
        </w:rPr>
      </w:pPr>
    </w:p>
    <w:p w:rsidR="002F3201" w:rsidRPr="003611B6" w:rsidRDefault="002F3201" w:rsidP="00DB0DE1">
      <w:pPr>
        <w:spacing w:after="0" w:line="240" w:lineRule="auto"/>
        <w:ind w:firstLine="567"/>
        <w:jc w:val="center"/>
        <w:rPr>
          <w:rFonts w:ascii="Times New Roman" w:hAnsi="Times New Roman" w:cs="Times New Roman"/>
          <w:b/>
          <w:sz w:val="24"/>
          <w:szCs w:val="24"/>
          <w:lang w:val="ky-KG"/>
        </w:rPr>
      </w:pPr>
      <w:r w:rsidRPr="003611B6">
        <w:rPr>
          <w:rFonts w:ascii="Times New Roman" w:hAnsi="Times New Roman" w:cs="Times New Roman"/>
          <w:b/>
          <w:sz w:val="24"/>
          <w:szCs w:val="24"/>
          <w:lang w:val="ky-KG"/>
        </w:rPr>
        <w:t>Республикалык бюджеттен бөлүнгөн каражаттар</w:t>
      </w:r>
    </w:p>
    <w:p w:rsidR="00124562" w:rsidRPr="00753A32" w:rsidRDefault="00124562" w:rsidP="00124562">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hAnsi="Times New Roman" w:cs="Times New Roman"/>
          <w:sz w:val="24"/>
          <w:szCs w:val="24"/>
          <w:lang w:val="ky-KG"/>
        </w:rPr>
        <w:t xml:space="preserve">Колдонуудагы мыйзамдарга ылайык </w:t>
      </w:r>
      <w:r w:rsidRPr="00957EFA">
        <w:rPr>
          <w:rFonts w:ascii="Times New Roman" w:eastAsia="Times New Roman" w:hAnsi="Times New Roman" w:cs="Times New Roman"/>
          <w:color w:val="000000"/>
          <w:sz w:val="28"/>
          <w:szCs w:val="28"/>
          <w:lang w:val="ky-KG"/>
        </w:rPr>
        <w:t>республикалык бюджет</w:t>
      </w:r>
      <w:r>
        <w:rPr>
          <w:rFonts w:ascii="Times New Roman" w:hAnsi="Times New Roman" w:cs="Times New Roman"/>
          <w:sz w:val="24"/>
          <w:szCs w:val="24"/>
          <w:lang w:val="ky-KG"/>
        </w:rPr>
        <w:t>тин каражаттарынын эсебинен төмөнкү төлөмдөр каржыланат: п</w:t>
      </w:r>
      <w:r w:rsidRPr="00753A32">
        <w:rPr>
          <w:rFonts w:ascii="Times New Roman" w:eastAsia="Times New Roman" w:hAnsi="Times New Roman" w:cs="Times New Roman"/>
          <w:sz w:val="24"/>
          <w:szCs w:val="24"/>
          <w:lang w:val="ky-KG" w:eastAsia="ru-RU"/>
        </w:rPr>
        <w:t>енсиянын базалык бөлүгү, электр энергиясы үчүн компенсациялар, аскер кызматчыларынын пенсиялары, аскер кызматчыларына бир жолку төлөнүүчү жөлөкпулдар, көп балалуу энелерге жана бала кезинен майып балдардын энелерине, бийик тоолуу шарттарда, алыскы жана барууга кыйын райондордо жашаган жана иштеген адамдарга</w:t>
      </w:r>
      <w:r>
        <w:rPr>
          <w:rFonts w:ascii="Times New Roman" w:eastAsia="Times New Roman" w:hAnsi="Times New Roman" w:cs="Times New Roman"/>
          <w:sz w:val="24"/>
          <w:szCs w:val="24"/>
          <w:lang w:val="ky-KG" w:eastAsia="ru-RU"/>
        </w:rPr>
        <w:t xml:space="preserve"> пенсиялар</w:t>
      </w:r>
      <w:r w:rsidRPr="00753A32">
        <w:rPr>
          <w:rFonts w:ascii="Times New Roman" w:eastAsia="Times New Roman" w:hAnsi="Times New Roman" w:cs="Times New Roman"/>
          <w:sz w:val="24"/>
          <w:szCs w:val="24"/>
          <w:lang w:val="ky-KG" w:eastAsia="ru-RU"/>
        </w:rPr>
        <w:t xml:space="preserve">, </w:t>
      </w:r>
      <w:r>
        <w:rPr>
          <w:rFonts w:ascii="Times New Roman" w:eastAsia="Times New Roman" w:hAnsi="Times New Roman" w:cs="Times New Roman"/>
          <w:sz w:val="24"/>
          <w:szCs w:val="24"/>
          <w:lang w:val="ky-KG" w:eastAsia="ru-RU"/>
        </w:rPr>
        <w:t xml:space="preserve">пенсияларга кошумча акылар </w:t>
      </w:r>
      <w:r w:rsidRPr="00753A32">
        <w:rPr>
          <w:rFonts w:ascii="Times New Roman" w:eastAsia="Times New Roman" w:hAnsi="Times New Roman" w:cs="Times New Roman"/>
          <w:sz w:val="24"/>
          <w:szCs w:val="24"/>
          <w:lang w:val="ky-KG" w:eastAsia="ru-RU"/>
        </w:rPr>
        <w:t xml:space="preserve">(Улуу Ата Мекендик согуштун катышуучуларына жана майыптарына, 80 жашка толгон пенсионерлерге, ардактуу донорлорго, концлагерлердин туткундарына, саясий жүйөөлөр боюнча куугунтукка алынгандарга, блокада мезгилинде Ленинград </w:t>
      </w:r>
      <w:r w:rsidRPr="00753A32">
        <w:rPr>
          <w:rFonts w:ascii="Times New Roman" w:eastAsia="Times New Roman" w:hAnsi="Times New Roman" w:cs="Times New Roman"/>
          <w:sz w:val="24"/>
          <w:szCs w:val="24"/>
          <w:lang w:val="ky-KG" w:eastAsia="ru-RU"/>
        </w:rPr>
        <w:lastRenderedPageBreak/>
        <w:t>шаарында иштегендерге, баатыр энелерге, Чернобыль АЭСиндеги авариялардын кесепеттерин жоюуга катышуучуларга, Кыргыз Республикасына өзгөчө эмгек сиңиргендерге).</w:t>
      </w:r>
    </w:p>
    <w:p w:rsidR="00F656DA" w:rsidRPr="003611B6" w:rsidRDefault="00F656DA" w:rsidP="00DB0DE1">
      <w:pPr>
        <w:spacing w:after="0" w:line="240" w:lineRule="auto"/>
        <w:ind w:firstLine="567"/>
        <w:jc w:val="center"/>
        <w:rPr>
          <w:rFonts w:ascii="Times New Roman" w:hAnsi="Times New Roman" w:cs="Times New Roman"/>
          <w:sz w:val="16"/>
          <w:szCs w:val="24"/>
          <w:lang w:val="ky-KG"/>
        </w:rPr>
      </w:pPr>
    </w:p>
    <w:p w:rsidR="005C0F47" w:rsidRPr="003611B6" w:rsidRDefault="00436777" w:rsidP="00436777">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20</w:t>
      </w:r>
      <w:r w:rsidR="00C93941" w:rsidRPr="003611B6">
        <w:rPr>
          <w:rFonts w:ascii="Times New Roman" w:hAnsi="Times New Roman" w:cs="Times New Roman"/>
          <w:sz w:val="24"/>
          <w:szCs w:val="24"/>
          <w:lang w:val="ky-KG"/>
        </w:rPr>
        <w:t>20</w:t>
      </w:r>
      <w:r w:rsidRPr="003611B6">
        <w:rPr>
          <w:rFonts w:ascii="Times New Roman" w:hAnsi="Times New Roman" w:cs="Times New Roman"/>
          <w:sz w:val="24"/>
          <w:szCs w:val="24"/>
          <w:lang w:val="ky-KG"/>
        </w:rPr>
        <w:t xml:space="preserve">-жылга </w:t>
      </w:r>
      <w:r w:rsidRPr="003611B6">
        <w:rPr>
          <w:rFonts w:ascii="Times New Roman" w:eastAsia="Times New Roman" w:hAnsi="Times New Roman" w:cs="Times New Roman"/>
          <w:sz w:val="24"/>
          <w:szCs w:val="24"/>
          <w:lang w:eastAsia="ru-RU"/>
        </w:rPr>
        <w:t>республика</w:t>
      </w:r>
      <w:r w:rsidRPr="003611B6">
        <w:rPr>
          <w:rFonts w:ascii="Times New Roman" w:eastAsia="Times New Roman" w:hAnsi="Times New Roman" w:cs="Times New Roman"/>
          <w:sz w:val="24"/>
          <w:szCs w:val="24"/>
          <w:lang w:val="ky-KG" w:eastAsia="ru-RU"/>
        </w:rPr>
        <w:t>лык</w:t>
      </w:r>
      <w:r w:rsidRPr="003611B6">
        <w:rPr>
          <w:rFonts w:ascii="Times New Roman" w:eastAsia="Times New Roman" w:hAnsi="Times New Roman" w:cs="Times New Roman"/>
          <w:sz w:val="24"/>
          <w:szCs w:val="24"/>
          <w:lang w:eastAsia="ru-RU"/>
        </w:rPr>
        <w:t xml:space="preserve"> бюджет</w:t>
      </w:r>
      <w:r w:rsidRPr="003611B6">
        <w:rPr>
          <w:rFonts w:ascii="Times New Roman" w:eastAsia="Times New Roman" w:hAnsi="Times New Roman" w:cs="Times New Roman"/>
          <w:sz w:val="24"/>
          <w:szCs w:val="24"/>
          <w:lang w:val="ky-KG" w:eastAsia="ru-RU"/>
        </w:rPr>
        <w:t>тен бөлүнгөн каражаттар</w:t>
      </w:r>
      <w:r w:rsidRPr="003611B6">
        <w:rPr>
          <w:rFonts w:ascii="Times New Roman" w:eastAsia="Times New Roman" w:hAnsi="Times New Roman" w:cs="Times New Roman"/>
          <w:b/>
          <w:sz w:val="24"/>
          <w:szCs w:val="24"/>
          <w:lang w:val="ky-KG" w:eastAsia="ru-RU"/>
        </w:rPr>
        <w:t xml:space="preserve"> </w:t>
      </w:r>
      <w:r w:rsidR="00C93941" w:rsidRPr="003611B6">
        <w:rPr>
          <w:rFonts w:ascii="Times New Roman" w:hAnsi="Times New Roman" w:cs="Times New Roman"/>
          <w:sz w:val="24"/>
          <w:szCs w:val="24"/>
        </w:rPr>
        <w:t xml:space="preserve">22 008,0 </w:t>
      </w:r>
      <w:r w:rsidRPr="003611B6">
        <w:rPr>
          <w:rFonts w:ascii="Times New Roman" w:hAnsi="Times New Roman" w:cs="Times New Roman"/>
          <w:sz w:val="24"/>
          <w:szCs w:val="24"/>
        </w:rPr>
        <w:t xml:space="preserve"> млн. сом</w:t>
      </w:r>
      <w:r w:rsidRPr="003611B6">
        <w:rPr>
          <w:rFonts w:ascii="Times New Roman" w:hAnsi="Times New Roman" w:cs="Times New Roman"/>
          <w:sz w:val="24"/>
          <w:szCs w:val="24"/>
          <w:lang w:val="ky-KG"/>
        </w:rPr>
        <w:t xml:space="preserve"> суммасында бекитилген. 20</w:t>
      </w:r>
      <w:r w:rsidR="00C93941" w:rsidRPr="003611B6">
        <w:rPr>
          <w:rFonts w:ascii="Times New Roman" w:hAnsi="Times New Roman" w:cs="Times New Roman"/>
          <w:sz w:val="24"/>
          <w:szCs w:val="24"/>
          <w:lang w:val="ky-KG"/>
        </w:rPr>
        <w:t>20</w:t>
      </w:r>
      <w:r w:rsidRPr="003611B6">
        <w:rPr>
          <w:rFonts w:ascii="Times New Roman" w:hAnsi="Times New Roman" w:cs="Times New Roman"/>
          <w:sz w:val="24"/>
          <w:szCs w:val="24"/>
          <w:lang w:val="ky-KG"/>
        </w:rPr>
        <w:t>-жылдын 1-январына карата бө</w:t>
      </w:r>
      <w:proofErr w:type="gramStart"/>
      <w:r w:rsidRPr="003611B6">
        <w:rPr>
          <w:rFonts w:ascii="Times New Roman" w:hAnsi="Times New Roman" w:cs="Times New Roman"/>
          <w:sz w:val="24"/>
          <w:szCs w:val="24"/>
          <w:lang w:val="ky-KG"/>
        </w:rPr>
        <w:t>л</w:t>
      </w:r>
      <w:proofErr w:type="gramEnd"/>
      <w:r w:rsidRPr="003611B6">
        <w:rPr>
          <w:rFonts w:ascii="Times New Roman" w:hAnsi="Times New Roman" w:cs="Times New Roman"/>
          <w:sz w:val="24"/>
          <w:szCs w:val="24"/>
          <w:lang w:val="ky-KG"/>
        </w:rPr>
        <w:t xml:space="preserve">үнгөн каражаттар боюнча </w:t>
      </w:r>
      <w:r w:rsidRPr="003611B6">
        <w:rPr>
          <w:rFonts w:ascii="Times New Roman" w:eastAsia="Times New Roman" w:hAnsi="Times New Roman" w:cs="Times New Roman"/>
          <w:sz w:val="24"/>
          <w:szCs w:val="24"/>
          <w:lang w:val="ky-KG" w:eastAsia="ru-RU"/>
        </w:rPr>
        <w:t xml:space="preserve">республикалык бюджеттин карыздары </w:t>
      </w:r>
      <w:r w:rsidR="00477FC5" w:rsidRPr="003611B6">
        <w:rPr>
          <w:rFonts w:ascii="Times New Roman" w:hAnsi="Times New Roman" w:cs="Times New Roman"/>
          <w:sz w:val="24"/>
          <w:szCs w:val="24"/>
        </w:rPr>
        <w:t xml:space="preserve">196,1 </w:t>
      </w:r>
      <w:r w:rsidRPr="003611B6">
        <w:rPr>
          <w:rFonts w:ascii="Times New Roman" w:hAnsi="Times New Roman" w:cs="Times New Roman"/>
          <w:sz w:val="24"/>
          <w:szCs w:val="24"/>
          <w:lang w:val="ky-KG"/>
        </w:rPr>
        <w:t>млн. сомду түздү</w:t>
      </w:r>
      <w:r w:rsidR="005C0F47" w:rsidRPr="003611B6">
        <w:rPr>
          <w:rFonts w:ascii="Times New Roman" w:hAnsi="Times New Roman" w:cs="Times New Roman"/>
          <w:sz w:val="24"/>
          <w:szCs w:val="24"/>
          <w:lang w:val="ky-KG"/>
        </w:rPr>
        <w:t>.</w:t>
      </w:r>
      <w:r w:rsidRPr="003611B6">
        <w:rPr>
          <w:rFonts w:ascii="Times New Roman" w:hAnsi="Times New Roman" w:cs="Times New Roman"/>
          <w:sz w:val="24"/>
          <w:szCs w:val="24"/>
          <w:lang w:val="ky-KG"/>
        </w:rPr>
        <w:t xml:space="preserve"> </w:t>
      </w:r>
    </w:p>
    <w:p w:rsidR="00436777" w:rsidRPr="003611B6" w:rsidRDefault="00436777" w:rsidP="00436777">
      <w:pPr>
        <w:spacing w:after="0"/>
        <w:ind w:firstLine="708"/>
        <w:jc w:val="both"/>
        <w:rPr>
          <w:rFonts w:ascii="Times New Roman" w:hAnsi="Times New Roman" w:cs="Times New Roman"/>
          <w:sz w:val="24"/>
          <w:szCs w:val="24"/>
          <w:lang w:val="ky-KG"/>
        </w:rPr>
      </w:pPr>
      <w:r w:rsidRPr="003611B6">
        <w:rPr>
          <w:rFonts w:ascii="Times New Roman" w:eastAsia="Times New Roman" w:hAnsi="Times New Roman" w:cs="Times New Roman"/>
          <w:sz w:val="24"/>
          <w:szCs w:val="24"/>
          <w:lang w:val="ky-KG" w:eastAsia="ru-RU"/>
        </w:rPr>
        <w:t xml:space="preserve">Республикалык бюджеттен бөлүнгөн каражаттар боюнча такталган керектөөлөр </w:t>
      </w:r>
      <w:r w:rsidR="005C0F47" w:rsidRPr="003611B6">
        <w:rPr>
          <w:rFonts w:ascii="Times New Roman" w:hAnsi="Times New Roman" w:cs="Times New Roman"/>
          <w:sz w:val="24"/>
          <w:szCs w:val="24"/>
          <w:lang w:val="ky-KG"/>
        </w:rPr>
        <w:t>22 525,5</w:t>
      </w:r>
      <w:r w:rsidRPr="003611B6">
        <w:rPr>
          <w:rFonts w:ascii="Times New Roman" w:hAnsi="Times New Roman" w:cs="Times New Roman"/>
          <w:sz w:val="24"/>
          <w:szCs w:val="24"/>
          <w:lang w:val="ky-KG"/>
        </w:rPr>
        <w:t xml:space="preserve"> млн. сомду түздү же бекитилген бюджеттен </w:t>
      </w:r>
      <w:r w:rsidR="005C0F47" w:rsidRPr="003611B6">
        <w:rPr>
          <w:rFonts w:ascii="Times New Roman" w:hAnsi="Times New Roman" w:cs="Times New Roman"/>
          <w:sz w:val="24"/>
          <w:szCs w:val="24"/>
          <w:lang w:val="ky-KG"/>
        </w:rPr>
        <w:t xml:space="preserve">517,5 </w:t>
      </w:r>
      <w:r w:rsidRPr="003611B6">
        <w:rPr>
          <w:rFonts w:ascii="Times New Roman" w:hAnsi="Times New Roman" w:cs="Times New Roman"/>
          <w:sz w:val="24"/>
          <w:szCs w:val="24"/>
          <w:lang w:val="ky-KG"/>
        </w:rPr>
        <w:t xml:space="preserve">млн. сомго көп, анын ичинде пенсиянын базалык бөлүгүн төлөп берүүгө жана индексациялоого </w:t>
      </w:r>
      <w:r w:rsidR="005C0F47" w:rsidRPr="003611B6">
        <w:rPr>
          <w:rFonts w:ascii="Times New Roman" w:hAnsi="Times New Roman" w:cs="Times New Roman"/>
          <w:sz w:val="24"/>
          <w:szCs w:val="24"/>
        </w:rPr>
        <w:t>265,3</w:t>
      </w:r>
      <w:r w:rsidRPr="003611B6">
        <w:rPr>
          <w:rFonts w:ascii="Times New Roman" w:hAnsi="Times New Roman" w:cs="Times New Roman"/>
          <w:sz w:val="24"/>
          <w:szCs w:val="24"/>
          <w:lang w:val="ky-KG"/>
        </w:rPr>
        <w:t xml:space="preserve"> млн. сом, аскер кызматчыларынын пенсияларына </w:t>
      </w:r>
      <w:r w:rsidR="0077729A" w:rsidRPr="003611B6">
        <w:rPr>
          <w:rFonts w:ascii="Times New Roman" w:hAnsi="Times New Roman" w:cs="Times New Roman"/>
          <w:sz w:val="24"/>
          <w:szCs w:val="24"/>
          <w:lang w:val="ky-KG"/>
        </w:rPr>
        <w:t xml:space="preserve">249,7 </w:t>
      </w:r>
      <w:r w:rsidRPr="003611B6">
        <w:rPr>
          <w:rFonts w:ascii="Times New Roman" w:hAnsi="Times New Roman" w:cs="Times New Roman"/>
          <w:sz w:val="24"/>
          <w:szCs w:val="24"/>
          <w:lang w:val="ky-KG"/>
        </w:rPr>
        <w:t xml:space="preserve">млн. сом. </w:t>
      </w:r>
    </w:p>
    <w:p w:rsidR="003D0D66" w:rsidRPr="003611B6" w:rsidRDefault="003D0D66" w:rsidP="00436777">
      <w:pPr>
        <w:spacing w:after="0"/>
        <w:ind w:firstLine="708"/>
        <w:jc w:val="both"/>
        <w:rPr>
          <w:rFonts w:ascii="Times New Roman" w:eastAsia="Times New Roman" w:hAnsi="Times New Roman" w:cs="Times New Roman"/>
          <w:sz w:val="24"/>
          <w:szCs w:val="24"/>
          <w:lang w:val="ky-KG" w:eastAsia="ru-RU"/>
        </w:rPr>
      </w:pPr>
    </w:p>
    <w:p w:rsidR="0077729A" w:rsidRPr="003611B6" w:rsidRDefault="0077729A" w:rsidP="00436777">
      <w:pPr>
        <w:spacing w:after="0"/>
        <w:ind w:firstLine="708"/>
        <w:jc w:val="both"/>
        <w:rPr>
          <w:rFonts w:ascii="Times New Roman" w:eastAsia="Times New Roman" w:hAnsi="Times New Roman" w:cs="Times New Roman"/>
          <w:sz w:val="24"/>
          <w:szCs w:val="24"/>
          <w:lang w:val="ky-KG" w:eastAsia="ru-RU"/>
        </w:rPr>
      </w:pPr>
    </w:p>
    <w:p w:rsidR="0077729A" w:rsidRPr="003611B6" w:rsidRDefault="0077729A" w:rsidP="00436777">
      <w:pPr>
        <w:spacing w:after="0"/>
        <w:ind w:firstLine="708"/>
        <w:jc w:val="both"/>
        <w:rPr>
          <w:rFonts w:ascii="Times New Roman" w:eastAsia="Times New Roman" w:hAnsi="Times New Roman" w:cs="Times New Roman"/>
          <w:sz w:val="24"/>
          <w:szCs w:val="24"/>
          <w:lang w:val="ky-KG" w:eastAsia="ru-RU"/>
        </w:rPr>
      </w:pPr>
    </w:p>
    <w:p w:rsidR="00303F6A" w:rsidRPr="003611B6" w:rsidRDefault="00303F6A" w:rsidP="00303F6A">
      <w:pPr>
        <w:spacing w:after="0" w:line="240" w:lineRule="auto"/>
        <w:jc w:val="right"/>
        <w:rPr>
          <w:rFonts w:ascii="Times New Roman" w:eastAsia="Calibri" w:hAnsi="Times New Roman" w:cs="Times New Roman"/>
          <w:sz w:val="24"/>
          <w:szCs w:val="24"/>
        </w:rPr>
      </w:pPr>
      <w:r w:rsidRPr="003611B6">
        <w:rPr>
          <w:rFonts w:ascii="Times New Roman" w:eastAsia="Calibri" w:hAnsi="Times New Roman" w:cs="Times New Roman"/>
          <w:sz w:val="24"/>
          <w:szCs w:val="24"/>
        </w:rPr>
        <w:t xml:space="preserve"> (млн. сом)</w:t>
      </w:r>
    </w:p>
    <w:tbl>
      <w:tblPr>
        <w:tblStyle w:val="a4"/>
        <w:tblW w:w="9072" w:type="dxa"/>
        <w:tblInd w:w="108" w:type="dxa"/>
        <w:tblLayout w:type="fixed"/>
        <w:tblLook w:val="04A0" w:firstRow="1" w:lastRow="0" w:firstColumn="1" w:lastColumn="0" w:noHBand="0" w:noVBand="1"/>
      </w:tblPr>
      <w:tblGrid>
        <w:gridCol w:w="2834"/>
        <w:gridCol w:w="1134"/>
        <w:gridCol w:w="993"/>
        <w:gridCol w:w="1417"/>
        <w:gridCol w:w="1276"/>
        <w:gridCol w:w="709"/>
        <w:gridCol w:w="709"/>
      </w:tblGrid>
      <w:tr w:rsidR="003611B6" w:rsidRPr="003611B6" w:rsidTr="00FD0A05">
        <w:trPr>
          <w:trHeight w:val="700"/>
        </w:trPr>
        <w:tc>
          <w:tcPr>
            <w:tcW w:w="2834" w:type="dxa"/>
            <w:vMerge w:val="restart"/>
            <w:tcBorders>
              <w:top w:val="single" w:sz="4" w:space="0" w:color="auto"/>
              <w:left w:val="single" w:sz="4" w:space="0" w:color="auto"/>
              <w:right w:val="single" w:sz="4" w:space="0" w:color="auto"/>
            </w:tcBorders>
          </w:tcPr>
          <w:p w:rsidR="00303F6A" w:rsidRPr="003611B6" w:rsidRDefault="00303F6A" w:rsidP="00303F6A">
            <w:pPr>
              <w:spacing w:after="0" w:line="240" w:lineRule="auto"/>
              <w:jc w:val="both"/>
              <w:rPr>
                <w:rFonts w:ascii="Times New Roman" w:eastAsia="Calibri" w:hAnsi="Times New Roman" w:cs="Times New Roman"/>
                <w:sz w:val="20"/>
                <w:szCs w:val="20"/>
              </w:rPr>
            </w:pPr>
          </w:p>
          <w:p w:rsidR="00303F6A" w:rsidRPr="003611B6" w:rsidRDefault="00303F6A" w:rsidP="00303F6A">
            <w:pPr>
              <w:spacing w:after="0" w:line="240" w:lineRule="auto"/>
              <w:jc w:val="center"/>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303F6A" w:rsidRPr="003611B6" w:rsidRDefault="00303F6A" w:rsidP="0077729A">
            <w:pPr>
              <w:spacing w:after="0" w:line="240" w:lineRule="auto"/>
              <w:jc w:val="center"/>
              <w:rPr>
                <w:rFonts w:ascii="Times New Roman" w:eastAsia="Times New Roman" w:hAnsi="Times New Roman" w:cs="Times New Roman"/>
                <w:b/>
                <w:sz w:val="20"/>
                <w:szCs w:val="20"/>
                <w:lang w:val="ky-KG" w:eastAsia="ru-RU"/>
              </w:rPr>
            </w:pPr>
            <w:r w:rsidRPr="003611B6">
              <w:rPr>
                <w:rFonts w:ascii="Times New Roman" w:eastAsia="Calibri" w:hAnsi="Times New Roman" w:cs="Times New Roman"/>
                <w:b/>
                <w:sz w:val="20"/>
                <w:szCs w:val="20"/>
              </w:rPr>
              <w:t>201</w:t>
            </w:r>
            <w:r w:rsidR="0077729A" w:rsidRPr="003611B6">
              <w:rPr>
                <w:rFonts w:ascii="Times New Roman" w:eastAsia="Calibri" w:hAnsi="Times New Roman" w:cs="Times New Roman"/>
                <w:b/>
                <w:sz w:val="20"/>
                <w:szCs w:val="20"/>
              </w:rPr>
              <w:t>9</w:t>
            </w:r>
            <w:r w:rsidR="00436777" w:rsidRPr="003611B6">
              <w:rPr>
                <w:rFonts w:ascii="Times New Roman" w:eastAsia="Calibri" w:hAnsi="Times New Roman" w:cs="Times New Roman"/>
                <w:b/>
                <w:sz w:val="20"/>
                <w:szCs w:val="20"/>
                <w:lang w:val="ky-KG"/>
              </w:rPr>
              <w:t>-жыл</w:t>
            </w:r>
          </w:p>
        </w:tc>
        <w:tc>
          <w:tcPr>
            <w:tcW w:w="993" w:type="dxa"/>
            <w:vMerge w:val="restart"/>
            <w:tcBorders>
              <w:top w:val="single" w:sz="4" w:space="0" w:color="auto"/>
              <w:left w:val="single" w:sz="4" w:space="0" w:color="auto"/>
              <w:right w:val="single" w:sz="4" w:space="0" w:color="auto"/>
            </w:tcBorders>
            <w:vAlign w:val="center"/>
          </w:tcPr>
          <w:p w:rsidR="00436777" w:rsidRPr="003611B6" w:rsidRDefault="00436777" w:rsidP="00436777">
            <w:pPr>
              <w:spacing w:after="0" w:line="240" w:lineRule="auto"/>
              <w:jc w:val="center"/>
              <w:rPr>
                <w:rFonts w:ascii="Times New Roman" w:eastAsia="Times New Roman" w:hAnsi="Times New Roman" w:cs="Times New Roman"/>
                <w:sz w:val="20"/>
                <w:szCs w:val="20"/>
                <w:lang w:eastAsia="ru-RU"/>
              </w:rPr>
            </w:pPr>
            <w:r w:rsidRPr="003611B6">
              <w:rPr>
                <w:rFonts w:ascii="Times New Roman" w:eastAsia="Times New Roman" w:hAnsi="Times New Roman" w:cs="Times New Roman"/>
                <w:sz w:val="20"/>
                <w:szCs w:val="20"/>
                <w:lang w:eastAsia="ru-RU"/>
              </w:rPr>
              <w:t>20</w:t>
            </w:r>
            <w:r w:rsidR="0077729A" w:rsidRPr="003611B6">
              <w:rPr>
                <w:rFonts w:ascii="Times New Roman" w:eastAsia="Times New Roman" w:hAnsi="Times New Roman" w:cs="Times New Roman"/>
                <w:sz w:val="20"/>
                <w:szCs w:val="20"/>
                <w:lang w:eastAsia="ru-RU"/>
              </w:rPr>
              <w:t>20</w:t>
            </w:r>
            <w:r w:rsidRPr="003611B6">
              <w:rPr>
                <w:rFonts w:ascii="Times New Roman" w:eastAsia="Times New Roman" w:hAnsi="Times New Roman" w:cs="Times New Roman"/>
                <w:sz w:val="20"/>
                <w:szCs w:val="20"/>
                <w:lang w:val="ky-KG" w:eastAsia="ru-RU"/>
              </w:rPr>
              <w:t>-</w:t>
            </w:r>
            <w:r w:rsidRPr="003611B6">
              <w:rPr>
                <w:rFonts w:ascii="Times New Roman" w:eastAsia="Times New Roman" w:hAnsi="Times New Roman" w:cs="Times New Roman"/>
                <w:sz w:val="20"/>
                <w:szCs w:val="20"/>
                <w:lang w:eastAsia="ru-RU"/>
              </w:rPr>
              <w:t>ж.</w:t>
            </w:r>
          </w:p>
          <w:p w:rsidR="00303F6A" w:rsidRPr="003611B6" w:rsidRDefault="00436777" w:rsidP="00436777">
            <w:pPr>
              <w:spacing w:after="0" w:line="240" w:lineRule="auto"/>
              <w:jc w:val="center"/>
              <w:rPr>
                <w:rFonts w:ascii="Times New Roman" w:eastAsia="Times New Roman" w:hAnsi="Times New Roman" w:cs="Times New Roman"/>
                <w:sz w:val="20"/>
                <w:szCs w:val="20"/>
                <w:lang w:eastAsia="ru-RU"/>
              </w:rPr>
            </w:pPr>
            <w:r w:rsidRPr="003611B6">
              <w:rPr>
                <w:rFonts w:ascii="Times New Roman" w:eastAsia="Times New Roman" w:hAnsi="Times New Roman" w:cs="Times New Roman"/>
                <w:sz w:val="20"/>
                <w:szCs w:val="20"/>
                <w:lang w:eastAsia="ru-RU"/>
              </w:rPr>
              <w:t xml:space="preserve">1-янва-рына карата </w:t>
            </w:r>
            <w:proofErr w:type="spellStart"/>
            <w:r w:rsidRPr="003611B6">
              <w:rPr>
                <w:rFonts w:ascii="Times New Roman" w:eastAsia="Times New Roman" w:hAnsi="Times New Roman" w:cs="Times New Roman"/>
                <w:sz w:val="20"/>
                <w:szCs w:val="20"/>
                <w:lang w:eastAsia="ru-RU"/>
              </w:rPr>
              <w:t>калдык</w:t>
            </w:r>
            <w:proofErr w:type="spellEnd"/>
          </w:p>
        </w:tc>
        <w:tc>
          <w:tcPr>
            <w:tcW w:w="2693" w:type="dxa"/>
            <w:gridSpan w:val="2"/>
            <w:tcBorders>
              <w:top w:val="single" w:sz="4" w:space="0" w:color="auto"/>
              <w:left w:val="single" w:sz="4" w:space="0" w:color="auto"/>
              <w:right w:val="single" w:sz="4" w:space="0" w:color="auto"/>
            </w:tcBorders>
            <w:vAlign w:val="center"/>
          </w:tcPr>
          <w:p w:rsidR="00303F6A" w:rsidRPr="003611B6" w:rsidRDefault="00303F6A" w:rsidP="0077729A">
            <w:pPr>
              <w:spacing w:after="0" w:line="240" w:lineRule="auto"/>
              <w:jc w:val="center"/>
              <w:rPr>
                <w:rFonts w:ascii="Times New Roman" w:eastAsia="Times New Roman" w:hAnsi="Times New Roman" w:cs="Times New Roman"/>
                <w:b/>
                <w:sz w:val="20"/>
                <w:szCs w:val="20"/>
                <w:lang w:eastAsia="ru-RU"/>
              </w:rPr>
            </w:pPr>
            <w:r w:rsidRPr="003611B6">
              <w:rPr>
                <w:rFonts w:ascii="Times New Roman" w:eastAsia="Times New Roman" w:hAnsi="Times New Roman" w:cs="Times New Roman"/>
                <w:b/>
                <w:sz w:val="20"/>
                <w:szCs w:val="20"/>
                <w:lang w:eastAsia="ru-RU"/>
              </w:rPr>
              <w:t>20</w:t>
            </w:r>
            <w:r w:rsidR="0077729A" w:rsidRPr="003611B6">
              <w:rPr>
                <w:rFonts w:ascii="Times New Roman" w:eastAsia="Times New Roman" w:hAnsi="Times New Roman" w:cs="Times New Roman"/>
                <w:b/>
                <w:sz w:val="20"/>
                <w:szCs w:val="20"/>
                <w:lang w:eastAsia="ru-RU"/>
              </w:rPr>
              <w:t>20</w:t>
            </w:r>
            <w:r w:rsidR="00436777" w:rsidRPr="003611B6">
              <w:rPr>
                <w:rFonts w:ascii="Times New Roman" w:eastAsia="Times New Roman" w:hAnsi="Times New Roman" w:cs="Times New Roman"/>
                <w:b/>
                <w:sz w:val="20"/>
                <w:szCs w:val="20"/>
                <w:lang w:val="ky-KG" w:eastAsia="ru-RU"/>
              </w:rPr>
              <w:t>-жыл</w:t>
            </w:r>
          </w:p>
        </w:tc>
        <w:tc>
          <w:tcPr>
            <w:tcW w:w="1418" w:type="dxa"/>
            <w:gridSpan w:val="2"/>
            <w:tcBorders>
              <w:top w:val="single" w:sz="4" w:space="0" w:color="auto"/>
              <w:left w:val="single" w:sz="4" w:space="0" w:color="auto"/>
              <w:right w:val="single" w:sz="4" w:space="0" w:color="auto"/>
            </w:tcBorders>
            <w:vAlign w:val="center"/>
          </w:tcPr>
          <w:p w:rsidR="00303F6A" w:rsidRPr="003611B6" w:rsidRDefault="00436777" w:rsidP="0077729A">
            <w:pPr>
              <w:spacing w:after="0" w:line="240" w:lineRule="auto"/>
              <w:jc w:val="center"/>
              <w:rPr>
                <w:rFonts w:ascii="Times New Roman" w:eastAsia="Times New Roman" w:hAnsi="Times New Roman" w:cs="Times New Roman"/>
                <w:b/>
                <w:sz w:val="20"/>
                <w:szCs w:val="20"/>
                <w:lang w:eastAsia="ru-RU"/>
              </w:rPr>
            </w:pPr>
            <w:r w:rsidRPr="003611B6">
              <w:rPr>
                <w:rFonts w:ascii="Times New Roman" w:eastAsia="Times New Roman" w:hAnsi="Times New Roman" w:cs="Times New Roman"/>
                <w:b/>
                <w:sz w:val="20"/>
                <w:szCs w:val="20"/>
                <w:lang w:val="ky-KG" w:eastAsia="ru-RU"/>
              </w:rPr>
              <w:t>20</w:t>
            </w:r>
            <w:r w:rsidR="0077729A" w:rsidRPr="003611B6">
              <w:rPr>
                <w:rFonts w:ascii="Times New Roman" w:eastAsia="Times New Roman" w:hAnsi="Times New Roman" w:cs="Times New Roman"/>
                <w:b/>
                <w:sz w:val="20"/>
                <w:szCs w:val="20"/>
                <w:lang w:val="ky-KG" w:eastAsia="ru-RU"/>
              </w:rPr>
              <w:t>20</w:t>
            </w:r>
            <w:r w:rsidRPr="003611B6">
              <w:rPr>
                <w:rFonts w:ascii="Times New Roman" w:eastAsia="Times New Roman" w:hAnsi="Times New Roman" w:cs="Times New Roman"/>
                <w:b/>
                <w:sz w:val="20"/>
                <w:szCs w:val="20"/>
                <w:lang w:val="ky-KG" w:eastAsia="ru-RU"/>
              </w:rPr>
              <w:t>-ж. бекит. карата өсүш</w:t>
            </w:r>
          </w:p>
        </w:tc>
      </w:tr>
      <w:tr w:rsidR="00FD0A05" w:rsidRPr="003611B6" w:rsidTr="00FD0A05">
        <w:trPr>
          <w:trHeight w:val="671"/>
        </w:trPr>
        <w:tc>
          <w:tcPr>
            <w:tcW w:w="2834" w:type="dxa"/>
            <w:vMerge/>
            <w:tcBorders>
              <w:left w:val="single" w:sz="4" w:space="0" w:color="auto"/>
              <w:bottom w:val="single" w:sz="4" w:space="0" w:color="auto"/>
              <w:right w:val="single" w:sz="4" w:space="0" w:color="auto"/>
            </w:tcBorders>
            <w:vAlign w:val="center"/>
          </w:tcPr>
          <w:p w:rsidR="00FD0A05" w:rsidRPr="003611B6" w:rsidRDefault="00FD0A05" w:rsidP="00303F6A">
            <w:pPr>
              <w:spacing w:after="0" w:line="240" w:lineRule="auto"/>
              <w:contextualSpacing/>
              <w:rPr>
                <w:rFonts w:ascii="Times New Roman" w:eastAsia="Calibri"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D0A05" w:rsidRPr="003611B6" w:rsidRDefault="00FD0A05" w:rsidP="00303F6A">
            <w:pPr>
              <w:spacing w:after="0" w:line="240" w:lineRule="auto"/>
              <w:jc w:val="center"/>
              <w:rPr>
                <w:rFonts w:ascii="Times New Roman" w:eastAsia="Calibri" w:hAnsi="Times New Roman" w:cs="Times New Roman"/>
                <w:sz w:val="20"/>
                <w:szCs w:val="20"/>
              </w:rPr>
            </w:pPr>
            <w:r w:rsidRPr="003611B6">
              <w:rPr>
                <w:rFonts w:ascii="Times New Roman" w:hAnsi="Times New Roman" w:cs="Times New Roman"/>
                <w:b/>
                <w:sz w:val="20"/>
                <w:szCs w:val="20"/>
                <w:lang w:val="ky-KG"/>
              </w:rPr>
              <w:t>анык төлөм</w:t>
            </w:r>
          </w:p>
        </w:tc>
        <w:tc>
          <w:tcPr>
            <w:tcW w:w="993" w:type="dxa"/>
            <w:vMerge/>
            <w:tcBorders>
              <w:left w:val="single" w:sz="4" w:space="0" w:color="auto"/>
              <w:bottom w:val="single" w:sz="4" w:space="0" w:color="auto"/>
              <w:right w:val="single" w:sz="4" w:space="0" w:color="auto"/>
            </w:tcBorders>
            <w:vAlign w:val="center"/>
          </w:tcPr>
          <w:p w:rsidR="00FD0A05" w:rsidRPr="003611B6" w:rsidRDefault="00FD0A05" w:rsidP="00303F6A">
            <w:pPr>
              <w:spacing w:after="0" w:line="240" w:lineRule="auto"/>
              <w:jc w:val="center"/>
              <w:rPr>
                <w:rFonts w:ascii="Times New Roman" w:eastAsia="Calibri"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F12000">
            <w:pPr>
              <w:spacing w:after="0"/>
              <w:jc w:val="center"/>
              <w:rPr>
                <w:rFonts w:ascii="Times New Roman" w:hAnsi="Times New Roman" w:cs="Times New Roman"/>
                <w:sz w:val="20"/>
                <w:szCs w:val="20"/>
                <w:lang w:val="ky-KG"/>
              </w:rPr>
            </w:pPr>
            <w:r w:rsidRPr="003611B6">
              <w:rPr>
                <w:rFonts w:ascii="Times New Roman" w:eastAsia="Times New Roman" w:hAnsi="Times New Roman" w:cs="Times New Roman"/>
                <w:b/>
                <w:sz w:val="20"/>
                <w:szCs w:val="20"/>
                <w:lang w:val="ky-KG" w:eastAsia="ru-RU"/>
              </w:rPr>
              <w:t>бекитилген</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F12000">
            <w:pPr>
              <w:spacing w:after="0"/>
              <w:jc w:val="center"/>
              <w:rPr>
                <w:rFonts w:ascii="Times New Roman" w:hAnsi="Times New Roman" w:cs="Times New Roman"/>
                <w:sz w:val="20"/>
                <w:szCs w:val="20"/>
                <w:lang w:val="ky-KG"/>
              </w:rPr>
            </w:pPr>
            <w:r w:rsidRPr="003611B6">
              <w:rPr>
                <w:rFonts w:ascii="Times New Roman" w:eastAsia="Times New Roman" w:hAnsi="Times New Roman" w:cs="Times New Roman"/>
                <w:b/>
                <w:sz w:val="20"/>
                <w:szCs w:val="20"/>
                <w:lang w:val="ky-KG" w:eastAsia="ru-RU"/>
              </w:rPr>
              <w:t>тактал</w:t>
            </w:r>
            <w:bookmarkStart w:id="0" w:name="_GoBack"/>
            <w:bookmarkEnd w:id="0"/>
            <w:r w:rsidRPr="003611B6">
              <w:rPr>
                <w:rFonts w:ascii="Times New Roman" w:eastAsia="Times New Roman" w:hAnsi="Times New Roman" w:cs="Times New Roman"/>
                <w:b/>
                <w:sz w:val="20"/>
                <w:szCs w:val="20"/>
                <w:lang w:val="ky-KG" w:eastAsia="ru-RU"/>
              </w:rPr>
              <w:t>ган</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303F6A">
            <w:pPr>
              <w:spacing w:after="0" w:line="240" w:lineRule="auto"/>
              <w:jc w:val="center"/>
              <w:rPr>
                <w:rFonts w:ascii="Times New Roman" w:eastAsia="Calibri" w:hAnsi="Times New Roman" w:cs="Times New Roman"/>
                <w:sz w:val="20"/>
                <w:szCs w:val="20"/>
              </w:rPr>
            </w:pPr>
            <w:r w:rsidRPr="003611B6">
              <w:rPr>
                <w:rFonts w:ascii="Times New Roman" w:eastAsia="Calibri" w:hAnsi="Times New Roman" w:cs="Times New Roman"/>
                <w:b/>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303F6A">
            <w:pPr>
              <w:spacing w:after="0" w:line="240" w:lineRule="auto"/>
              <w:jc w:val="center"/>
              <w:rPr>
                <w:rFonts w:ascii="Times New Roman" w:eastAsia="Calibri" w:hAnsi="Times New Roman" w:cs="Times New Roman"/>
                <w:sz w:val="20"/>
                <w:szCs w:val="20"/>
              </w:rPr>
            </w:pPr>
            <w:r w:rsidRPr="003611B6">
              <w:rPr>
                <w:rFonts w:ascii="Times New Roman" w:eastAsia="Calibri" w:hAnsi="Times New Roman" w:cs="Times New Roman"/>
                <w:sz w:val="20"/>
                <w:szCs w:val="20"/>
              </w:rPr>
              <w:t>в %</w:t>
            </w:r>
          </w:p>
        </w:tc>
      </w:tr>
      <w:tr w:rsidR="00FD0A05" w:rsidRPr="003611B6" w:rsidTr="00FD0A05">
        <w:trPr>
          <w:trHeight w:val="409"/>
        </w:trPr>
        <w:tc>
          <w:tcPr>
            <w:tcW w:w="28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436777">
            <w:pPr>
              <w:pStyle w:val="a3"/>
              <w:spacing w:after="0"/>
              <w:ind w:left="0"/>
              <w:rPr>
                <w:rFonts w:ascii="Times New Roman" w:hAnsi="Times New Roman" w:cs="Times New Roman"/>
                <w:sz w:val="20"/>
                <w:szCs w:val="20"/>
                <w:lang w:val="ky-KG"/>
              </w:rPr>
            </w:pPr>
            <w:proofErr w:type="spellStart"/>
            <w:r w:rsidRPr="003611B6">
              <w:rPr>
                <w:rFonts w:ascii="Times New Roman" w:hAnsi="Times New Roman" w:cs="Times New Roman"/>
                <w:sz w:val="20"/>
                <w:szCs w:val="20"/>
              </w:rPr>
              <w:t>Пенси</w:t>
            </w:r>
            <w:proofErr w:type="spellEnd"/>
            <w:r w:rsidRPr="003611B6">
              <w:rPr>
                <w:rFonts w:ascii="Times New Roman" w:hAnsi="Times New Roman" w:cs="Times New Roman"/>
                <w:sz w:val="20"/>
                <w:szCs w:val="20"/>
                <w:lang w:val="ky-KG"/>
              </w:rPr>
              <w:t>янын базалык бө</w:t>
            </w:r>
            <w:proofErr w:type="gramStart"/>
            <w:r w:rsidRPr="003611B6">
              <w:rPr>
                <w:rFonts w:ascii="Times New Roman" w:hAnsi="Times New Roman" w:cs="Times New Roman"/>
                <w:sz w:val="20"/>
                <w:szCs w:val="20"/>
                <w:lang w:val="ky-KG"/>
              </w:rPr>
              <w:t>л</w:t>
            </w:r>
            <w:proofErr w:type="gramEnd"/>
            <w:r w:rsidRPr="003611B6">
              <w:rPr>
                <w:rFonts w:ascii="Times New Roman" w:hAnsi="Times New Roman" w:cs="Times New Roman"/>
                <w:sz w:val="20"/>
                <w:szCs w:val="20"/>
                <w:lang w:val="ky-KG"/>
              </w:rPr>
              <w:t>үгү</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12 539,3</w:t>
            </w: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-276,5</w:t>
            </w: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13</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255,3</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13</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520,6</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265,3</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eastAsia="Times New Roman" w:hAnsi="Times New Roman" w:cs="Times New Roman"/>
                <w:sz w:val="20"/>
                <w:szCs w:val="20"/>
              </w:rPr>
            </w:pPr>
            <w:r w:rsidRPr="003611B6">
              <w:rPr>
                <w:rFonts w:ascii="Times New Roman" w:eastAsia="Times New Roman" w:hAnsi="Times New Roman" w:cs="Times New Roman"/>
                <w:sz w:val="20"/>
                <w:szCs w:val="20"/>
              </w:rPr>
              <w:t>102,0</w:t>
            </w:r>
          </w:p>
        </w:tc>
      </w:tr>
      <w:tr w:rsidR="00FD0A05" w:rsidRPr="003611B6" w:rsidTr="00FD0A05">
        <w:trPr>
          <w:trHeight w:val="364"/>
        </w:trPr>
        <w:tc>
          <w:tcPr>
            <w:tcW w:w="28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436777">
            <w:pPr>
              <w:pStyle w:val="a3"/>
              <w:spacing w:after="0"/>
              <w:ind w:left="0"/>
              <w:rPr>
                <w:rFonts w:ascii="Times New Roman" w:hAnsi="Times New Roman" w:cs="Times New Roman"/>
                <w:sz w:val="20"/>
                <w:szCs w:val="20"/>
              </w:rPr>
            </w:pPr>
            <w:r w:rsidRPr="003611B6">
              <w:rPr>
                <w:rFonts w:ascii="Times New Roman" w:hAnsi="Times New Roman" w:cs="Times New Roman"/>
                <w:sz w:val="20"/>
                <w:szCs w:val="20"/>
              </w:rPr>
              <w:t>Электр</w:t>
            </w:r>
            <w:r w:rsidRPr="003611B6">
              <w:rPr>
                <w:rFonts w:ascii="Times New Roman" w:hAnsi="Times New Roman" w:cs="Times New Roman"/>
                <w:sz w:val="20"/>
                <w:szCs w:val="20"/>
                <w:lang w:val="ky-KG"/>
              </w:rPr>
              <w:t xml:space="preserve"> </w:t>
            </w:r>
            <w:proofErr w:type="spellStart"/>
            <w:r w:rsidRPr="003611B6">
              <w:rPr>
                <w:rFonts w:ascii="Times New Roman" w:hAnsi="Times New Roman" w:cs="Times New Roman"/>
                <w:sz w:val="20"/>
                <w:szCs w:val="20"/>
              </w:rPr>
              <w:t>энерги</w:t>
            </w:r>
            <w:proofErr w:type="spellEnd"/>
            <w:r w:rsidRPr="003611B6">
              <w:rPr>
                <w:rFonts w:ascii="Times New Roman" w:hAnsi="Times New Roman" w:cs="Times New Roman"/>
                <w:sz w:val="20"/>
                <w:szCs w:val="20"/>
                <w:lang w:val="ky-KG"/>
              </w:rPr>
              <w:t>ясы үчүн</w:t>
            </w:r>
            <w:r w:rsidRPr="003611B6">
              <w:rPr>
                <w:rFonts w:ascii="Times New Roman" w:hAnsi="Times New Roman" w:cs="Times New Roman"/>
                <w:sz w:val="20"/>
                <w:szCs w:val="20"/>
              </w:rPr>
              <w:t xml:space="preserve"> компенсация</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1 896,1</w:t>
            </w: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-37,8</w:t>
            </w: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915,8</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911,0</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-4,</w:t>
            </w:r>
            <w:r w:rsidRPr="003611B6">
              <w:rPr>
                <w:rFonts w:ascii="Times New Roman" w:hAnsi="Times New Roman" w:cs="Times New Roman"/>
                <w:sz w:val="20"/>
                <w:szCs w:val="20"/>
                <w:lang w:val="ky-KG"/>
              </w:rPr>
              <w:t>8</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eastAsia="Times New Roman" w:hAnsi="Times New Roman" w:cs="Times New Roman"/>
                <w:sz w:val="20"/>
                <w:szCs w:val="20"/>
              </w:rPr>
            </w:pPr>
            <w:r w:rsidRPr="003611B6">
              <w:rPr>
                <w:rFonts w:ascii="Times New Roman" w:eastAsia="Times New Roman" w:hAnsi="Times New Roman" w:cs="Times New Roman"/>
                <w:sz w:val="20"/>
                <w:szCs w:val="20"/>
              </w:rPr>
              <w:t>99,7</w:t>
            </w:r>
          </w:p>
        </w:tc>
      </w:tr>
      <w:tr w:rsidR="00FD0A05" w:rsidRPr="003611B6" w:rsidTr="00FD0A05">
        <w:trPr>
          <w:trHeight w:val="395"/>
        </w:trPr>
        <w:tc>
          <w:tcPr>
            <w:tcW w:w="28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436777">
            <w:pPr>
              <w:pStyle w:val="a3"/>
              <w:spacing w:after="0"/>
              <w:ind w:left="0"/>
              <w:rPr>
                <w:rFonts w:ascii="Times New Roman" w:hAnsi="Times New Roman" w:cs="Times New Roman"/>
                <w:sz w:val="20"/>
                <w:szCs w:val="20"/>
              </w:rPr>
            </w:pPr>
            <w:r w:rsidRPr="003611B6">
              <w:rPr>
                <w:rFonts w:ascii="Times New Roman" w:hAnsi="Times New Roman" w:cs="Times New Roman"/>
                <w:sz w:val="20"/>
                <w:szCs w:val="20"/>
                <w:lang w:val="ky-KG"/>
              </w:rPr>
              <w:t>Аскер кызматчыларынын пенсиялары</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2640,5</w:t>
            </w: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-5,6</w:t>
            </w: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3 050,3</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300</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249,7</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eastAsia="Times New Roman" w:hAnsi="Times New Roman" w:cs="Times New Roman"/>
                <w:sz w:val="20"/>
                <w:szCs w:val="20"/>
              </w:rPr>
            </w:pPr>
            <w:r w:rsidRPr="003611B6">
              <w:rPr>
                <w:rFonts w:ascii="Times New Roman" w:eastAsia="Times New Roman" w:hAnsi="Times New Roman" w:cs="Times New Roman"/>
                <w:sz w:val="20"/>
                <w:szCs w:val="20"/>
              </w:rPr>
              <w:t>108,2</w:t>
            </w:r>
          </w:p>
        </w:tc>
      </w:tr>
      <w:tr w:rsidR="00FD0A05" w:rsidRPr="003611B6" w:rsidTr="00FD0A05">
        <w:trPr>
          <w:trHeight w:val="489"/>
        </w:trPr>
        <w:tc>
          <w:tcPr>
            <w:tcW w:w="28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436777">
            <w:pPr>
              <w:pStyle w:val="a3"/>
              <w:spacing w:after="0"/>
              <w:ind w:left="0" w:right="306"/>
              <w:rPr>
                <w:rFonts w:ascii="Times New Roman" w:hAnsi="Times New Roman" w:cs="Times New Roman"/>
                <w:sz w:val="20"/>
                <w:szCs w:val="20"/>
              </w:rPr>
            </w:pPr>
            <w:r w:rsidRPr="003611B6">
              <w:rPr>
                <w:rFonts w:ascii="Times New Roman" w:hAnsi="Times New Roman" w:cs="Times New Roman"/>
                <w:sz w:val="20"/>
                <w:szCs w:val="20"/>
                <w:lang w:val="ky-KG"/>
              </w:rPr>
              <w:t>Аскер кызматчыларына бир жолку төлөнүүчү жөлөкпул</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eastAsia="Times New Roman" w:hAnsi="Times New Roman" w:cs="Times New Roman"/>
                <w:sz w:val="20"/>
                <w:szCs w:val="20"/>
              </w:rPr>
            </w:pPr>
            <w:r w:rsidRPr="003611B6">
              <w:rPr>
                <w:rFonts w:ascii="Times New Roman" w:eastAsia="Times New Roman" w:hAnsi="Times New Roman" w:cs="Times New Roman"/>
                <w:sz w:val="20"/>
                <w:szCs w:val="20"/>
              </w:rPr>
              <w:t>30,5</w:t>
            </w: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7,0</w:t>
            </w: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24,0</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36,0</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eastAsia="Times New Roman" w:hAnsi="Times New Roman" w:cs="Times New Roman"/>
                <w:sz w:val="20"/>
                <w:szCs w:val="20"/>
              </w:rPr>
            </w:pPr>
            <w:r w:rsidRPr="003611B6">
              <w:rPr>
                <w:rFonts w:ascii="Times New Roman" w:eastAsia="Times New Roman" w:hAnsi="Times New Roman" w:cs="Times New Roman"/>
                <w:sz w:val="20"/>
                <w:szCs w:val="20"/>
              </w:rPr>
              <w:t>12</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eastAsia="Times New Roman" w:hAnsi="Times New Roman" w:cs="Times New Roman"/>
                <w:sz w:val="20"/>
                <w:szCs w:val="20"/>
              </w:rPr>
            </w:pPr>
            <w:r w:rsidRPr="003611B6">
              <w:rPr>
                <w:rFonts w:ascii="Times New Roman" w:eastAsia="Times New Roman" w:hAnsi="Times New Roman" w:cs="Times New Roman"/>
                <w:sz w:val="20"/>
                <w:szCs w:val="20"/>
              </w:rPr>
              <w:t>150,0</w:t>
            </w:r>
          </w:p>
        </w:tc>
      </w:tr>
      <w:tr w:rsidR="00FD0A05" w:rsidRPr="003611B6" w:rsidTr="00FD0A05">
        <w:trPr>
          <w:trHeight w:val="406"/>
        </w:trPr>
        <w:tc>
          <w:tcPr>
            <w:tcW w:w="2834" w:type="dxa"/>
            <w:tcBorders>
              <w:top w:val="single" w:sz="4" w:space="0" w:color="auto"/>
              <w:left w:val="single" w:sz="4" w:space="0" w:color="auto"/>
              <w:bottom w:val="single" w:sz="4" w:space="0" w:color="auto"/>
              <w:right w:val="single" w:sz="4" w:space="0" w:color="auto"/>
            </w:tcBorders>
          </w:tcPr>
          <w:p w:rsidR="00FD0A05" w:rsidRPr="003611B6" w:rsidRDefault="00FD0A05" w:rsidP="00436777">
            <w:pPr>
              <w:spacing w:after="0"/>
              <w:jc w:val="both"/>
              <w:rPr>
                <w:rFonts w:ascii="Times New Roman" w:hAnsi="Times New Roman" w:cs="Times New Roman"/>
                <w:sz w:val="20"/>
                <w:szCs w:val="20"/>
                <w:lang w:val="ky-KG"/>
              </w:rPr>
            </w:pPr>
            <w:r w:rsidRPr="003611B6">
              <w:rPr>
                <w:rFonts w:ascii="Times New Roman" w:hAnsi="Times New Roman" w:cs="Times New Roman"/>
                <w:sz w:val="20"/>
                <w:szCs w:val="20"/>
                <w:lang w:val="ky-KG"/>
              </w:rPr>
              <w:t>Пенсиялар жана пенсияларга үстөк акылар</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771,1</w:t>
            </w: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116,8</w:t>
            </w: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r w:rsidRPr="003611B6">
              <w:rPr>
                <w:rFonts w:ascii="Times New Roman" w:hAnsi="Times New Roman" w:cs="Times New Roman"/>
                <w:sz w:val="20"/>
                <w:szCs w:val="20"/>
              </w:rPr>
              <w:t>3</w:t>
            </w:r>
            <w:r w:rsidRPr="003611B6">
              <w:rPr>
                <w:rFonts w:ascii="Times New Roman" w:eastAsia="Times New Roman" w:hAnsi="Times New Roman" w:cs="Times New Roman"/>
                <w:sz w:val="12"/>
                <w:szCs w:val="24"/>
                <w:lang w:eastAsia="ru-RU"/>
              </w:rPr>
              <w:t> </w:t>
            </w:r>
            <w:r w:rsidRPr="003611B6">
              <w:rPr>
                <w:rFonts w:ascii="Times New Roman" w:hAnsi="Times New Roman" w:cs="Times New Roman"/>
                <w:sz w:val="20"/>
                <w:szCs w:val="20"/>
              </w:rPr>
              <w:t>762,5</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3757,9</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w:t>
            </w:r>
            <w:r w:rsidRPr="003611B6">
              <w:rPr>
                <w:rFonts w:ascii="Times New Roman" w:hAnsi="Times New Roman" w:cs="Times New Roman"/>
                <w:sz w:val="20"/>
                <w:szCs w:val="20"/>
                <w:lang w:val="ky-KG"/>
              </w:rPr>
              <w:t>4,6</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lang w:val="ky-KG"/>
              </w:rPr>
            </w:pPr>
            <w:r w:rsidRPr="003611B6">
              <w:rPr>
                <w:rFonts w:ascii="Times New Roman" w:hAnsi="Times New Roman" w:cs="Times New Roman"/>
                <w:sz w:val="20"/>
                <w:szCs w:val="20"/>
              </w:rPr>
              <w:t>9</w:t>
            </w:r>
            <w:r w:rsidRPr="003611B6">
              <w:rPr>
                <w:rFonts w:ascii="Times New Roman" w:hAnsi="Times New Roman" w:cs="Times New Roman"/>
                <w:sz w:val="20"/>
                <w:szCs w:val="20"/>
                <w:lang w:val="ky-KG"/>
              </w:rPr>
              <w:t>9,9</w:t>
            </w:r>
          </w:p>
        </w:tc>
      </w:tr>
      <w:tr w:rsidR="00FD0A05" w:rsidRPr="003611B6" w:rsidTr="00FD0A05">
        <w:trPr>
          <w:trHeight w:val="407"/>
        </w:trPr>
        <w:tc>
          <w:tcPr>
            <w:tcW w:w="2834" w:type="dxa"/>
            <w:tcBorders>
              <w:top w:val="single" w:sz="4" w:space="0" w:color="auto"/>
              <w:left w:val="single" w:sz="4" w:space="0" w:color="auto"/>
              <w:bottom w:val="single" w:sz="4" w:space="0" w:color="auto"/>
              <w:right w:val="single" w:sz="4" w:space="0" w:color="auto"/>
            </w:tcBorders>
            <w:hideMark/>
          </w:tcPr>
          <w:p w:rsidR="00FD0A05" w:rsidRPr="003611B6" w:rsidRDefault="00FD0A05" w:rsidP="00436777">
            <w:pPr>
              <w:spacing w:after="0"/>
              <w:jc w:val="both"/>
              <w:rPr>
                <w:rFonts w:ascii="Times New Roman" w:hAnsi="Times New Roman" w:cs="Times New Roman"/>
                <w:sz w:val="20"/>
                <w:szCs w:val="20"/>
              </w:rPr>
            </w:pPr>
            <w:r w:rsidRPr="003611B6">
              <w:rPr>
                <w:rFonts w:ascii="Times New Roman" w:hAnsi="Times New Roman" w:cs="Times New Roman"/>
                <w:sz w:val="20"/>
                <w:szCs w:val="20"/>
                <w:lang w:val="ky-KG"/>
              </w:rPr>
              <w:t xml:space="preserve">Карыздардын жоюлушу </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sz w:val="20"/>
                <w:szCs w:val="20"/>
              </w:rPr>
            </w:pPr>
          </w:p>
        </w:tc>
      </w:tr>
      <w:tr w:rsidR="00FD0A05" w:rsidRPr="003611B6" w:rsidTr="00FD0A05">
        <w:trPr>
          <w:trHeight w:val="485"/>
        </w:trPr>
        <w:tc>
          <w:tcPr>
            <w:tcW w:w="28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436777">
            <w:pPr>
              <w:spacing w:after="0"/>
              <w:rPr>
                <w:rFonts w:ascii="Times New Roman" w:hAnsi="Times New Roman" w:cs="Times New Roman"/>
                <w:b/>
                <w:sz w:val="20"/>
                <w:szCs w:val="20"/>
              </w:rPr>
            </w:pPr>
            <w:r w:rsidRPr="003611B6">
              <w:rPr>
                <w:rFonts w:ascii="Times New Roman" w:eastAsia="Times New Roman" w:hAnsi="Times New Roman" w:cs="Times New Roman"/>
                <w:b/>
                <w:bCs/>
                <w:sz w:val="20"/>
                <w:szCs w:val="20"/>
                <w:lang w:val="ky-KG" w:eastAsia="ru-RU"/>
              </w:rPr>
              <w:t>Бардыгы</w:t>
            </w:r>
          </w:p>
        </w:tc>
        <w:tc>
          <w:tcPr>
            <w:tcW w:w="1134"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rPr>
            </w:pPr>
            <w:r w:rsidRPr="003611B6">
              <w:rPr>
                <w:rFonts w:ascii="Times New Roman" w:hAnsi="Times New Roman" w:cs="Times New Roman"/>
                <w:b/>
                <w:sz w:val="20"/>
                <w:szCs w:val="20"/>
              </w:rPr>
              <w:t>20 877,6</w:t>
            </w:r>
          </w:p>
        </w:tc>
        <w:tc>
          <w:tcPr>
            <w:tcW w:w="993"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rPr>
            </w:pPr>
            <w:r w:rsidRPr="003611B6">
              <w:rPr>
                <w:rFonts w:ascii="Times New Roman" w:hAnsi="Times New Roman" w:cs="Times New Roman"/>
                <w:b/>
                <w:sz w:val="20"/>
                <w:szCs w:val="20"/>
              </w:rPr>
              <w:t>-196,1</w:t>
            </w:r>
          </w:p>
        </w:tc>
        <w:tc>
          <w:tcPr>
            <w:tcW w:w="1417"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rPr>
            </w:pPr>
            <w:r w:rsidRPr="003611B6">
              <w:rPr>
                <w:rFonts w:ascii="Times New Roman" w:hAnsi="Times New Roman" w:cs="Times New Roman"/>
                <w:b/>
                <w:sz w:val="20"/>
                <w:szCs w:val="20"/>
              </w:rPr>
              <w:t>22 008,0</w:t>
            </w:r>
          </w:p>
        </w:tc>
        <w:tc>
          <w:tcPr>
            <w:tcW w:w="1276"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lang w:val="ky-KG"/>
              </w:rPr>
            </w:pPr>
            <w:r w:rsidRPr="003611B6">
              <w:rPr>
                <w:rFonts w:ascii="Times New Roman" w:hAnsi="Times New Roman" w:cs="Times New Roman"/>
                <w:b/>
                <w:sz w:val="20"/>
                <w:szCs w:val="20"/>
              </w:rPr>
              <w:t>22 </w:t>
            </w:r>
            <w:r w:rsidRPr="003611B6">
              <w:rPr>
                <w:rFonts w:ascii="Times New Roman" w:hAnsi="Times New Roman" w:cs="Times New Roman"/>
                <w:b/>
                <w:sz w:val="20"/>
                <w:szCs w:val="20"/>
                <w:lang w:val="ky-KG"/>
              </w:rPr>
              <w:t>525,5</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747117">
            <w:pPr>
              <w:rPr>
                <w:rFonts w:ascii="Times New Roman" w:hAnsi="Times New Roman" w:cs="Times New Roman"/>
                <w:b/>
                <w:sz w:val="20"/>
                <w:szCs w:val="20"/>
                <w:lang w:val="ky-KG"/>
              </w:rPr>
            </w:pPr>
            <w:r w:rsidRPr="003611B6">
              <w:rPr>
                <w:rFonts w:ascii="Times New Roman" w:hAnsi="Times New Roman" w:cs="Times New Roman"/>
                <w:b/>
                <w:sz w:val="20"/>
                <w:szCs w:val="20"/>
                <w:lang w:val="ky-KG"/>
              </w:rPr>
              <w:t>517,5</w:t>
            </w:r>
          </w:p>
        </w:tc>
        <w:tc>
          <w:tcPr>
            <w:tcW w:w="709" w:type="dxa"/>
            <w:tcBorders>
              <w:top w:val="single" w:sz="4" w:space="0" w:color="auto"/>
              <w:left w:val="single" w:sz="4" w:space="0" w:color="auto"/>
              <w:bottom w:val="single" w:sz="4" w:space="0" w:color="auto"/>
              <w:right w:val="single" w:sz="4" w:space="0" w:color="auto"/>
            </w:tcBorders>
            <w:vAlign w:val="center"/>
          </w:tcPr>
          <w:p w:rsidR="00FD0A05" w:rsidRPr="003611B6" w:rsidRDefault="00FD0A05" w:rsidP="00673351">
            <w:pPr>
              <w:jc w:val="center"/>
              <w:rPr>
                <w:rFonts w:ascii="Times New Roman" w:hAnsi="Times New Roman" w:cs="Times New Roman"/>
                <w:b/>
                <w:sz w:val="20"/>
                <w:szCs w:val="20"/>
                <w:lang w:val="ky-KG"/>
              </w:rPr>
            </w:pPr>
            <w:r w:rsidRPr="003611B6">
              <w:rPr>
                <w:rFonts w:ascii="Times New Roman" w:hAnsi="Times New Roman" w:cs="Times New Roman"/>
                <w:b/>
                <w:sz w:val="20"/>
                <w:szCs w:val="20"/>
              </w:rPr>
              <w:t>102,</w:t>
            </w:r>
            <w:r w:rsidRPr="003611B6">
              <w:rPr>
                <w:rFonts w:ascii="Times New Roman" w:hAnsi="Times New Roman" w:cs="Times New Roman"/>
                <w:b/>
                <w:sz w:val="20"/>
                <w:szCs w:val="20"/>
                <w:lang w:val="ky-KG"/>
              </w:rPr>
              <w:t>4</w:t>
            </w:r>
          </w:p>
        </w:tc>
      </w:tr>
    </w:tbl>
    <w:p w:rsidR="003D0D66" w:rsidRPr="003611B6" w:rsidRDefault="003D0D66" w:rsidP="00303F6A">
      <w:pPr>
        <w:spacing w:after="0" w:line="240" w:lineRule="auto"/>
        <w:ind w:firstLine="567"/>
        <w:jc w:val="center"/>
        <w:rPr>
          <w:rFonts w:ascii="Times New Roman" w:eastAsia="Times New Roman" w:hAnsi="Times New Roman" w:cs="Times New Roman"/>
          <w:b/>
          <w:sz w:val="24"/>
          <w:szCs w:val="24"/>
          <w:lang w:val="ky-KG" w:eastAsia="ru-RU"/>
        </w:rPr>
      </w:pPr>
    </w:p>
    <w:p w:rsidR="004E00B1" w:rsidRPr="003611B6" w:rsidRDefault="004E00B1" w:rsidP="00DB0DE1">
      <w:pPr>
        <w:pStyle w:val="a3"/>
        <w:spacing w:after="0" w:line="240" w:lineRule="auto"/>
        <w:ind w:left="567"/>
        <w:jc w:val="center"/>
        <w:rPr>
          <w:rFonts w:ascii="Times New Roman" w:hAnsi="Times New Roman" w:cs="Times New Roman"/>
          <w:b/>
          <w:sz w:val="24"/>
          <w:szCs w:val="24"/>
          <w:lang w:val="ky-KG"/>
        </w:rPr>
      </w:pPr>
      <w:r w:rsidRPr="003611B6">
        <w:rPr>
          <w:rFonts w:ascii="Times New Roman" w:hAnsi="Times New Roman" w:cs="Times New Roman"/>
          <w:b/>
          <w:sz w:val="24"/>
          <w:szCs w:val="24"/>
          <w:lang w:val="ky-KG"/>
        </w:rPr>
        <w:t>Башка кирешелер</w:t>
      </w:r>
      <w:r w:rsidR="00C247D7" w:rsidRPr="003611B6">
        <w:rPr>
          <w:rFonts w:ascii="Times New Roman" w:hAnsi="Times New Roman" w:cs="Times New Roman"/>
          <w:b/>
          <w:sz w:val="24"/>
          <w:szCs w:val="24"/>
          <w:lang w:val="ky-KG"/>
        </w:rPr>
        <w:t xml:space="preserve"> </w:t>
      </w:r>
    </w:p>
    <w:p w:rsidR="00F656DA" w:rsidRPr="003611B6" w:rsidRDefault="00F656DA" w:rsidP="00DB0DE1">
      <w:pPr>
        <w:pStyle w:val="a3"/>
        <w:spacing w:after="0" w:line="240" w:lineRule="auto"/>
        <w:ind w:left="567"/>
        <w:jc w:val="center"/>
        <w:rPr>
          <w:rFonts w:ascii="Times New Roman" w:hAnsi="Times New Roman" w:cs="Times New Roman"/>
          <w:b/>
          <w:sz w:val="20"/>
          <w:szCs w:val="24"/>
          <w:lang w:val="ky-KG"/>
        </w:rPr>
      </w:pPr>
    </w:p>
    <w:p w:rsidR="004E00B1" w:rsidRPr="003611B6" w:rsidRDefault="00EA3683" w:rsidP="00DB0DE1">
      <w:pPr>
        <w:spacing w:after="0" w:line="240" w:lineRule="auto"/>
        <w:ind w:firstLine="567"/>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20</w:t>
      </w:r>
      <w:r w:rsidR="00E725F4" w:rsidRPr="003611B6">
        <w:rPr>
          <w:rFonts w:ascii="Times New Roman" w:hAnsi="Times New Roman" w:cs="Times New Roman"/>
          <w:sz w:val="24"/>
          <w:szCs w:val="24"/>
          <w:lang w:val="ky-KG"/>
        </w:rPr>
        <w:t>20</w:t>
      </w:r>
      <w:r w:rsidRPr="003611B6">
        <w:rPr>
          <w:rFonts w:ascii="Times New Roman" w:hAnsi="Times New Roman" w:cs="Times New Roman"/>
          <w:sz w:val="24"/>
          <w:szCs w:val="24"/>
          <w:lang w:val="ky-KG"/>
        </w:rPr>
        <w:t xml:space="preserve">-жылга такталган бюджеттин долбоорунда башка кирешелердин түшүшү </w:t>
      </w:r>
      <w:r w:rsidR="00E725F4" w:rsidRPr="003611B6">
        <w:rPr>
          <w:rFonts w:ascii="Times New Roman" w:eastAsia="Times New Roman" w:hAnsi="Times New Roman" w:cs="Times New Roman"/>
          <w:sz w:val="24"/>
          <w:szCs w:val="24"/>
          <w:lang w:eastAsia="ru-RU"/>
        </w:rPr>
        <w:t>51</w:t>
      </w:r>
      <w:r w:rsidR="00E725F4" w:rsidRPr="003611B6">
        <w:rPr>
          <w:rFonts w:ascii="Times New Roman" w:eastAsia="Times New Roman" w:hAnsi="Times New Roman" w:cs="Times New Roman"/>
          <w:sz w:val="24"/>
          <w:szCs w:val="24"/>
          <w:lang w:val="ky-KG" w:eastAsia="ru-RU"/>
        </w:rPr>
        <w:t>6</w:t>
      </w:r>
      <w:r w:rsidR="00E725F4" w:rsidRPr="003611B6">
        <w:rPr>
          <w:rFonts w:ascii="Times New Roman" w:eastAsia="Times New Roman" w:hAnsi="Times New Roman" w:cs="Times New Roman"/>
          <w:sz w:val="24"/>
          <w:szCs w:val="24"/>
          <w:lang w:eastAsia="ru-RU"/>
        </w:rPr>
        <w:t>,6</w:t>
      </w:r>
      <w:r w:rsidRPr="003611B6">
        <w:rPr>
          <w:rFonts w:ascii="Times New Roman" w:eastAsia="Times New Roman" w:hAnsi="Times New Roman" w:cs="Times New Roman"/>
          <w:sz w:val="24"/>
          <w:szCs w:val="24"/>
          <w:lang w:val="ky-KG" w:eastAsia="ru-RU"/>
        </w:rPr>
        <w:t xml:space="preserve"> млн. сом суммасында же </w:t>
      </w:r>
      <w:r w:rsidRPr="003611B6">
        <w:rPr>
          <w:rFonts w:ascii="Times New Roman" w:hAnsi="Times New Roman" w:cs="Times New Roman"/>
          <w:sz w:val="24"/>
          <w:szCs w:val="24"/>
          <w:lang w:val="ky-KG"/>
        </w:rPr>
        <w:t xml:space="preserve">бекитилген бюджеттен </w:t>
      </w:r>
      <w:r w:rsidR="00E725F4" w:rsidRPr="003611B6">
        <w:rPr>
          <w:rFonts w:ascii="Times New Roman" w:eastAsia="Times New Roman" w:hAnsi="Times New Roman" w:cs="Times New Roman"/>
          <w:sz w:val="24"/>
          <w:szCs w:val="24"/>
          <w:lang w:eastAsia="ru-RU"/>
        </w:rPr>
        <w:t>360</w:t>
      </w:r>
      <w:r w:rsidR="00C05856">
        <w:rPr>
          <w:rFonts w:ascii="Times New Roman" w:eastAsia="Times New Roman" w:hAnsi="Times New Roman" w:cs="Times New Roman"/>
          <w:sz w:val="24"/>
          <w:szCs w:val="24"/>
          <w:lang w:val="ky-KG" w:eastAsia="ru-RU"/>
        </w:rPr>
        <w:t xml:space="preserve">,1 </w:t>
      </w:r>
      <w:r w:rsidRPr="003611B6">
        <w:rPr>
          <w:rFonts w:ascii="Times New Roman" w:hAnsi="Times New Roman" w:cs="Times New Roman"/>
          <w:sz w:val="24"/>
          <w:szCs w:val="24"/>
          <w:lang w:val="ky-KG"/>
        </w:rPr>
        <w:t>млн. сомго көбүрөөк такталды.</w:t>
      </w:r>
      <w:r w:rsidR="004E00B1" w:rsidRPr="003611B6">
        <w:rPr>
          <w:rFonts w:ascii="Times New Roman" w:hAnsi="Times New Roman" w:cs="Times New Roman"/>
          <w:sz w:val="24"/>
          <w:szCs w:val="24"/>
          <w:lang w:val="ky-KG"/>
        </w:rPr>
        <w:t xml:space="preserve"> </w:t>
      </w:r>
    </w:p>
    <w:p w:rsidR="00D554D8" w:rsidRPr="003611B6" w:rsidRDefault="00D554D8" w:rsidP="00DB0DE1">
      <w:pPr>
        <w:spacing w:after="0" w:line="240" w:lineRule="auto"/>
        <w:jc w:val="right"/>
        <w:rPr>
          <w:rFonts w:ascii="Times New Roman" w:hAnsi="Times New Roman" w:cs="Times New Roman"/>
          <w:sz w:val="24"/>
          <w:szCs w:val="24"/>
          <w:lang w:val="ky-KG"/>
        </w:rPr>
      </w:pPr>
      <w:r w:rsidRPr="003611B6">
        <w:rPr>
          <w:rFonts w:ascii="Times New Roman" w:hAnsi="Times New Roman" w:cs="Times New Roman"/>
          <w:sz w:val="24"/>
          <w:szCs w:val="24"/>
          <w:lang w:val="ky-KG"/>
        </w:rPr>
        <w:t>(млн. сом)</w:t>
      </w:r>
    </w:p>
    <w:tbl>
      <w:tblPr>
        <w:tblW w:w="9219" w:type="dxa"/>
        <w:tblInd w:w="103" w:type="dxa"/>
        <w:tblLayout w:type="fixed"/>
        <w:tblLook w:val="04A0" w:firstRow="1" w:lastRow="0" w:firstColumn="1" w:lastColumn="0" w:noHBand="0" w:noVBand="1"/>
      </w:tblPr>
      <w:tblGrid>
        <w:gridCol w:w="4329"/>
        <w:gridCol w:w="1009"/>
        <w:gridCol w:w="1010"/>
        <w:gridCol w:w="1009"/>
        <w:gridCol w:w="864"/>
        <w:gridCol w:w="6"/>
        <w:gridCol w:w="992"/>
      </w:tblGrid>
      <w:tr w:rsidR="003611B6" w:rsidRPr="003611B6" w:rsidTr="00E725F4">
        <w:trPr>
          <w:trHeight w:val="503"/>
        </w:trPr>
        <w:tc>
          <w:tcPr>
            <w:tcW w:w="4329" w:type="dxa"/>
            <w:vMerge w:val="restart"/>
            <w:tcBorders>
              <w:top w:val="single" w:sz="4" w:space="0" w:color="auto"/>
              <w:left w:val="single" w:sz="4" w:space="0" w:color="auto"/>
              <w:right w:val="single" w:sz="4" w:space="0" w:color="auto"/>
            </w:tcBorders>
            <w:shd w:val="clear" w:color="auto" w:fill="auto"/>
            <w:noWrap/>
            <w:vAlign w:val="center"/>
            <w:hideMark/>
          </w:tcPr>
          <w:p w:rsidR="00306937" w:rsidRPr="003611B6" w:rsidRDefault="00306937" w:rsidP="00DB0DE1">
            <w:pPr>
              <w:spacing w:after="0" w:line="240" w:lineRule="auto"/>
              <w:jc w:val="center"/>
              <w:rPr>
                <w:rFonts w:ascii="Times New Roman" w:eastAsia="Times New Roman" w:hAnsi="Times New Roman" w:cs="Times New Roman"/>
                <w:b/>
                <w:bCs/>
                <w:sz w:val="20"/>
                <w:szCs w:val="20"/>
                <w:lang w:val="ky-KG" w:eastAsia="ru-RU"/>
              </w:rPr>
            </w:pPr>
            <w:r w:rsidRPr="003611B6">
              <w:rPr>
                <w:rFonts w:ascii="Times New Roman" w:eastAsia="Times New Roman" w:hAnsi="Times New Roman" w:cs="Times New Roman"/>
                <w:b/>
                <w:bCs/>
                <w:sz w:val="20"/>
                <w:szCs w:val="20"/>
                <w:lang w:val="ky-KG" w:eastAsia="ru-RU"/>
              </w:rPr>
              <w:t>Башка кирешелер</w:t>
            </w:r>
          </w:p>
        </w:tc>
        <w:tc>
          <w:tcPr>
            <w:tcW w:w="1009" w:type="dxa"/>
            <w:vMerge w:val="restart"/>
            <w:tcBorders>
              <w:top w:val="single" w:sz="4" w:space="0" w:color="auto"/>
              <w:left w:val="nil"/>
              <w:right w:val="single" w:sz="4" w:space="0" w:color="auto"/>
            </w:tcBorders>
            <w:shd w:val="clear" w:color="auto" w:fill="auto"/>
            <w:vAlign w:val="center"/>
            <w:hideMark/>
          </w:tcPr>
          <w:p w:rsidR="00306937" w:rsidRPr="003611B6" w:rsidRDefault="00306937" w:rsidP="00306937">
            <w:pPr>
              <w:spacing w:after="0" w:line="240" w:lineRule="auto"/>
              <w:jc w:val="center"/>
              <w:rPr>
                <w:rFonts w:ascii="Times New Roman" w:eastAsia="Times New Roman" w:hAnsi="Times New Roman" w:cs="Times New Roman"/>
                <w:b/>
                <w:bCs/>
                <w:sz w:val="20"/>
                <w:szCs w:val="20"/>
                <w:lang w:val="ky-KG" w:eastAsia="ru-RU"/>
              </w:rPr>
            </w:pPr>
            <w:r w:rsidRPr="003611B6">
              <w:rPr>
                <w:rFonts w:ascii="Times New Roman" w:eastAsia="Times New Roman" w:hAnsi="Times New Roman" w:cs="Times New Roman"/>
                <w:b/>
                <w:bCs/>
                <w:sz w:val="20"/>
                <w:szCs w:val="20"/>
                <w:lang w:val="ky-KG" w:eastAsia="ru-RU"/>
              </w:rPr>
              <w:t>201</w:t>
            </w:r>
            <w:r w:rsidR="00E725F4" w:rsidRPr="003611B6">
              <w:rPr>
                <w:rFonts w:ascii="Times New Roman" w:eastAsia="Times New Roman" w:hAnsi="Times New Roman" w:cs="Times New Roman"/>
                <w:b/>
                <w:bCs/>
                <w:sz w:val="20"/>
                <w:szCs w:val="20"/>
                <w:lang w:val="ky-KG" w:eastAsia="ru-RU"/>
              </w:rPr>
              <w:t>9</w:t>
            </w:r>
            <w:r w:rsidRPr="003611B6">
              <w:rPr>
                <w:rFonts w:ascii="Times New Roman" w:eastAsia="Times New Roman" w:hAnsi="Times New Roman" w:cs="Times New Roman"/>
                <w:b/>
                <w:bCs/>
                <w:sz w:val="20"/>
                <w:szCs w:val="20"/>
                <w:lang w:val="ky-KG" w:eastAsia="ru-RU"/>
              </w:rPr>
              <w:t xml:space="preserve">7-ж. </w:t>
            </w:r>
            <w:r w:rsidRPr="003611B6">
              <w:rPr>
                <w:rFonts w:ascii="Times New Roman" w:hAnsi="Times New Roman" w:cs="Times New Roman"/>
                <w:b/>
                <w:sz w:val="20"/>
                <w:szCs w:val="20"/>
                <w:lang w:val="ky-KG"/>
              </w:rPr>
              <w:t>анык</w:t>
            </w:r>
          </w:p>
        </w:tc>
        <w:tc>
          <w:tcPr>
            <w:tcW w:w="1010" w:type="dxa"/>
            <w:vMerge w:val="restart"/>
            <w:tcBorders>
              <w:top w:val="single" w:sz="4" w:space="0" w:color="auto"/>
              <w:left w:val="nil"/>
              <w:right w:val="single" w:sz="4" w:space="0" w:color="auto"/>
            </w:tcBorders>
            <w:shd w:val="clear" w:color="auto" w:fill="auto"/>
            <w:vAlign w:val="center"/>
            <w:hideMark/>
          </w:tcPr>
          <w:p w:rsidR="00306937" w:rsidRPr="003611B6" w:rsidRDefault="00306937" w:rsidP="00E725F4">
            <w:pPr>
              <w:spacing w:after="0" w:line="240" w:lineRule="auto"/>
              <w:jc w:val="center"/>
              <w:rPr>
                <w:rFonts w:ascii="Times New Roman" w:eastAsia="Times New Roman" w:hAnsi="Times New Roman" w:cs="Times New Roman"/>
                <w:b/>
                <w:bCs/>
                <w:sz w:val="20"/>
                <w:szCs w:val="20"/>
                <w:lang w:val="ky-KG" w:eastAsia="ru-RU"/>
              </w:rPr>
            </w:pPr>
            <w:r w:rsidRPr="003611B6">
              <w:rPr>
                <w:rFonts w:ascii="Times New Roman" w:eastAsia="Times New Roman" w:hAnsi="Times New Roman" w:cs="Times New Roman"/>
                <w:b/>
                <w:bCs/>
                <w:sz w:val="20"/>
                <w:szCs w:val="20"/>
                <w:lang w:val="ky-KG" w:eastAsia="ru-RU"/>
              </w:rPr>
              <w:t>20</w:t>
            </w:r>
            <w:r w:rsidR="00E725F4" w:rsidRPr="003611B6">
              <w:rPr>
                <w:rFonts w:ascii="Times New Roman" w:eastAsia="Times New Roman" w:hAnsi="Times New Roman" w:cs="Times New Roman"/>
                <w:b/>
                <w:bCs/>
                <w:sz w:val="20"/>
                <w:szCs w:val="20"/>
                <w:lang w:val="ky-KG" w:eastAsia="ru-RU"/>
              </w:rPr>
              <w:t>20</w:t>
            </w:r>
            <w:r w:rsidRPr="003611B6">
              <w:rPr>
                <w:rFonts w:ascii="Times New Roman" w:eastAsia="Times New Roman" w:hAnsi="Times New Roman" w:cs="Times New Roman"/>
                <w:b/>
                <w:bCs/>
                <w:sz w:val="20"/>
                <w:szCs w:val="20"/>
                <w:lang w:val="ky-KG" w:eastAsia="ru-RU"/>
              </w:rPr>
              <w:t>-ж. беки-тилген</w:t>
            </w:r>
          </w:p>
        </w:tc>
        <w:tc>
          <w:tcPr>
            <w:tcW w:w="1009" w:type="dxa"/>
            <w:vMerge w:val="restart"/>
            <w:tcBorders>
              <w:top w:val="single" w:sz="4" w:space="0" w:color="auto"/>
              <w:left w:val="nil"/>
              <w:right w:val="single" w:sz="4" w:space="0" w:color="auto"/>
            </w:tcBorders>
            <w:shd w:val="clear" w:color="auto" w:fill="auto"/>
            <w:vAlign w:val="center"/>
            <w:hideMark/>
          </w:tcPr>
          <w:p w:rsidR="00306937" w:rsidRPr="003611B6" w:rsidRDefault="00306937" w:rsidP="00E725F4">
            <w:pPr>
              <w:spacing w:after="0" w:line="240" w:lineRule="auto"/>
              <w:jc w:val="center"/>
              <w:rPr>
                <w:rFonts w:ascii="Times New Roman" w:eastAsia="Times New Roman" w:hAnsi="Times New Roman" w:cs="Times New Roman"/>
                <w:b/>
                <w:bCs/>
                <w:sz w:val="20"/>
                <w:szCs w:val="20"/>
                <w:lang w:val="ky-KG" w:eastAsia="ru-RU"/>
              </w:rPr>
            </w:pPr>
            <w:r w:rsidRPr="003611B6">
              <w:rPr>
                <w:rFonts w:ascii="Times New Roman" w:eastAsia="Times New Roman" w:hAnsi="Times New Roman" w:cs="Times New Roman"/>
                <w:b/>
                <w:bCs/>
                <w:sz w:val="20"/>
                <w:szCs w:val="20"/>
                <w:lang w:val="ky-KG" w:eastAsia="ru-RU"/>
              </w:rPr>
              <w:t>20</w:t>
            </w:r>
            <w:r w:rsidR="00E725F4" w:rsidRPr="003611B6">
              <w:rPr>
                <w:rFonts w:ascii="Times New Roman" w:eastAsia="Times New Roman" w:hAnsi="Times New Roman" w:cs="Times New Roman"/>
                <w:b/>
                <w:bCs/>
                <w:sz w:val="20"/>
                <w:szCs w:val="20"/>
                <w:lang w:val="ky-KG" w:eastAsia="ru-RU"/>
              </w:rPr>
              <w:t>20</w:t>
            </w:r>
            <w:r w:rsidRPr="003611B6">
              <w:rPr>
                <w:rFonts w:ascii="Times New Roman" w:eastAsia="Times New Roman" w:hAnsi="Times New Roman" w:cs="Times New Roman"/>
                <w:b/>
                <w:bCs/>
                <w:sz w:val="20"/>
                <w:szCs w:val="20"/>
                <w:lang w:val="ky-KG" w:eastAsia="ru-RU"/>
              </w:rPr>
              <w:t>-ж. тактал-ган</w:t>
            </w:r>
          </w:p>
        </w:tc>
        <w:tc>
          <w:tcPr>
            <w:tcW w:w="1862" w:type="dxa"/>
            <w:gridSpan w:val="3"/>
            <w:tcBorders>
              <w:top w:val="single" w:sz="4" w:space="0" w:color="auto"/>
              <w:left w:val="nil"/>
              <w:bottom w:val="single" w:sz="4" w:space="0" w:color="auto"/>
              <w:right w:val="single" w:sz="4" w:space="0" w:color="auto"/>
            </w:tcBorders>
            <w:shd w:val="clear" w:color="auto" w:fill="auto"/>
            <w:vAlign w:val="center"/>
          </w:tcPr>
          <w:p w:rsidR="00306937" w:rsidRPr="003611B6" w:rsidRDefault="00306937" w:rsidP="00306937">
            <w:pPr>
              <w:spacing w:after="0" w:line="240" w:lineRule="auto"/>
              <w:jc w:val="center"/>
              <w:rPr>
                <w:rFonts w:ascii="Times New Roman" w:eastAsia="Times New Roman" w:hAnsi="Times New Roman" w:cs="Times New Roman"/>
                <w:b/>
                <w:i/>
                <w:iCs/>
                <w:sz w:val="20"/>
                <w:szCs w:val="20"/>
                <w:lang w:val="ky-KG" w:eastAsia="ru-RU"/>
              </w:rPr>
            </w:pPr>
            <w:r w:rsidRPr="003611B6">
              <w:rPr>
                <w:rFonts w:ascii="Times New Roman" w:eastAsia="Times New Roman" w:hAnsi="Times New Roman" w:cs="Times New Roman"/>
                <w:b/>
                <w:sz w:val="20"/>
                <w:szCs w:val="20"/>
                <w:lang w:val="ky-KG" w:eastAsia="ru-RU"/>
              </w:rPr>
              <w:t>2018-ж. бекит. карата өсүш</w:t>
            </w:r>
          </w:p>
        </w:tc>
      </w:tr>
      <w:tr w:rsidR="003611B6" w:rsidRPr="003611B6" w:rsidTr="00E725F4">
        <w:trPr>
          <w:trHeight w:val="383"/>
        </w:trPr>
        <w:tc>
          <w:tcPr>
            <w:tcW w:w="4329" w:type="dxa"/>
            <w:vMerge/>
            <w:tcBorders>
              <w:left w:val="single" w:sz="4" w:space="0" w:color="auto"/>
              <w:bottom w:val="single" w:sz="4" w:space="0" w:color="auto"/>
              <w:right w:val="single" w:sz="4" w:space="0" w:color="auto"/>
            </w:tcBorders>
            <w:shd w:val="clear" w:color="auto" w:fill="auto"/>
            <w:noWrap/>
            <w:vAlign w:val="center"/>
          </w:tcPr>
          <w:p w:rsidR="00306937" w:rsidRPr="003611B6" w:rsidRDefault="00306937" w:rsidP="00DB0DE1">
            <w:pPr>
              <w:spacing w:after="0" w:line="240" w:lineRule="auto"/>
              <w:jc w:val="center"/>
              <w:rPr>
                <w:rFonts w:ascii="Times New Roman" w:eastAsia="Times New Roman" w:hAnsi="Times New Roman" w:cs="Times New Roman"/>
                <w:b/>
                <w:bCs/>
                <w:sz w:val="20"/>
                <w:szCs w:val="20"/>
                <w:lang w:val="ky-KG" w:eastAsia="ru-RU"/>
              </w:rPr>
            </w:pPr>
          </w:p>
        </w:tc>
        <w:tc>
          <w:tcPr>
            <w:tcW w:w="1009" w:type="dxa"/>
            <w:vMerge/>
            <w:tcBorders>
              <w:left w:val="nil"/>
              <w:bottom w:val="single" w:sz="4" w:space="0" w:color="auto"/>
              <w:right w:val="single" w:sz="4" w:space="0" w:color="auto"/>
            </w:tcBorders>
            <w:shd w:val="clear" w:color="auto" w:fill="auto"/>
            <w:vAlign w:val="center"/>
          </w:tcPr>
          <w:p w:rsidR="00306937" w:rsidRPr="003611B6" w:rsidRDefault="00306937" w:rsidP="00306937">
            <w:pPr>
              <w:spacing w:after="0" w:line="240" w:lineRule="auto"/>
              <w:jc w:val="center"/>
              <w:rPr>
                <w:rFonts w:ascii="Times New Roman" w:eastAsia="Times New Roman" w:hAnsi="Times New Roman" w:cs="Times New Roman"/>
                <w:b/>
                <w:bCs/>
                <w:sz w:val="20"/>
                <w:szCs w:val="20"/>
                <w:lang w:val="ky-KG" w:eastAsia="ru-RU"/>
              </w:rPr>
            </w:pPr>
          </w:p>
        </w:tc>
        <w:tc>
          <w:tcPr>
            <w:tcW w:w="1010" w:type="dxa"/>
            <w:vMerge/>
            <w:tcBorders>
              <w:left w:val="nil"/>
              <w:bottom w:val="single" w:sz="4" w:space="0" w:color="auto"/>
              <w:right w:val="single" w:sz="4" w:space="0" w:color="auto"/>
            </w:tcBorders>
            <w:shd w:val="clear" w:color="auto" w:fill="auto"/>
            <w:vAlign w:val="center"/>
          </w:tcPr>
          <w:p w:rsidR="00306937" w:rsidRPr="003611B6" w:rsidRDefault="00306937" w:rsidP="00306937">
            <w:pPr>
              <w:spacing w:after="0" w:line="240" w:lineRule="auto"/>
              <w:jc w:val="center"/>
              <w:rPr>
                <w:rFonts w:ascii="Times New Roman" w:eastAsia="Times New Roman" w:hAnsi="Times New Roman" w:cs="Times New Roman"/>
                <w:b/>
                <w:bCs/>
                <w:sz w:val="20"/>
                <w:szCs w:val="20"/>
                <w:lang w:val="ky-KG" w:eastAsia="ru-RU"/>
              </w:rPr>
            </w:pPr>
          </w:p>
        </w:tc>
        <w:tc>
          <w:tcPr>
            <w:tcW w:w="1009" w:type="dxa"/>
            <w:vMerge/>
            <w:tcBorders>
              <w:left w:val="nil"/>
              <w:bottom w:val="single" w:sz="4" w:space="0" w:color="auto"/>
              <w:right w:val="single" w:sz="4" w:space="0" w:color="auto"/>
            </w:tcBorders>
            <w:shd w:val="clear" w:color="auto" w:fill="auto"/>
            <w:vAlign w:val="center"/>
          </w:tcPr>
          <w:p w:rsidR="00306937" w:rsidRPr="003611B6" w:rsidRDefault="00306937" w:rsidP="00306937">
            <w:pPr>
              <w:spacing w:after="0" w:line="240" w:lineRule="auto"/>
              <w:jc w:val="center"/>
              <w:rPr>
                <w:rFonts w:ascii="Times New Roman" w:eastAsia="Times New Roman" w:hAnsi="Times New Roman" w:cs="Times New Roman"/>
                <w:b/>
                <w:bCs/>
                <w:sz w:val="20"/>
                <w:szCs w:val="20"/>
                <w:lang w:val="ky-KG" w:eastAsia="ru-RU"/>
              </w:rPr>
            </w:pPr>
          </w:p>
        </w:tc>
        <w:tc>
          <w:tcPr>
            <w:tcW w:w="870" w:type="dxa"/>
            <w:gridSpan w:val="2"/>
            <w:tcBorders>
              <w:top w:val="single" w:sz="4" w:space="0" w:color="auto"/>
              <w:left w:val="nil"/>
              <w:bottom w:val="single" w:sz="4" w:space="0" w:color="auto"/>
              <w:right w:val="single" w:sz="4" w:space="0" w:color="auto"/>
            </w:tcBorders>
            <w:shd w:val="clear" w:color="auto" w:fill="auto"/>
            <w:vAlign w:val="center"/>
          </w:tcPr>
          <w:p w:rsidR="00306937" w:rsidRPr="003611B6" w:rsidRDefault="00306937" w:rsidP="00306937">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306937" w:rsidRPr="003611B6" w:rsidRDefault="00306937" w:rsidP="00306937">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w:t>
            </w:r>
          </w:p>
        </w:tc>
      </w:tr>
      <w:tr w:rsidR="003611B6" w:rsidRPr="003611B6" w:rsidTr="00E725F4">
        <w:trPr>
          <w:trHeight w:val="420"/>
        </w:trPr>
        <w:tc>
          <w:tcPr>
            <w:tcW w:w="4329" w:type="dxa"/>
            <w:tcBorders>
              <w:top w:val="nil"/>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b/>
                <w:bCs/>
                <w:sz w:val="20"/>
                <w:szCs w:val="20"/>
                <w:lang w:val="ky-KG" w:eastAsia="ru-RU"/>
              </w:rPr>
            </w:pPr>
            <w:r w:rsidRPr="003611B6">
              <w:rPr>
                <w:rFonts w:ascii="Times New Roman" w:eastAsia="Times New Roman" w:hAnsi="Times New Roman" w:cs="Times New Roman"/>
                <w:b/>
                <w:bCs/>
                <w:sz w:val="20"/>
                <w:szCs w:val="20"/>
                <w:lang w:val="ky-KG" w:eastAsia="ru-RU"/>
              </w:rPr>
              <w:t>Бардыгы, анын ичинде:</w:t>
            </w:r>
          </w:p>
        </w:tc>
        <w:tc>
          <w:tcPr>
            <w:tcW w:w="1009" w:type="dxa"/>
            <w:tcBorders>
              <w:top w:val="nil"/>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b/>
                <w:sz w:val="20"/>
                <w:szCs w:val="20"/>
              </w:rPr>
            </w:pPr>
            <w:r w:rsidRPr="003611B6">
              <w:rPr>
                <w:rFonts w:ascii="Times New Roman" w:hAnsi="Times New Roman" w:cs="Times New Roman"/>
                <w:b/>
                <w:sz w:val="20"/>
                <w:szCs w:val="20"/>
              </w:rPr>
              <w:t>404,7</w:t>
            </w:r>
          </w:p>
        </w:tc>
        <w:tc>
          <w:tcPr>
            <w:tcW w:w="1010" w:type="dxa"/>
            <w:tcBorders>
              <w:top w:val="nil"/>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b/>
                <w:sz w:val="20"/>
                <w:szCs w:val="20"/>
              </w:rPr>
            </w:pPr>
            <w:r w:rsidRPr="003611B6">
              <w:rPr>
                <w:rFonts w:ascii="Times New Roman" w:hAnsi="Times New Roman" w:cs="Times New Roman"/>
                <w:b/>
                <w:sz w:val="20"/>
                <w:szCs w:val="20"/>
              </w:rPr>
              <w:t>156,5</w:t>
            </w:r>
          </w:p>
        </w:tc>
        <w:tc>
          <w:tcPr>
            <w:tcW w:w="1009" w:type="dxa"/>
            <w:tcBorders>
              <w:top w:val="nil"/>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516,6</w:t>
            </w:r>
          </w:p>
        </w:tc>
        <w:tc>
          <w:tcPr>
            <w:tcW w:w="864" w:type="dxa"/>
            <w:tcBorders>
              <w:top w:val="nil"/>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b/>
                <w:sz w:val="20"/>
                <w:szCs w:val="20"/>
              </w:rPr>
            </w:pPr>
            <w:r w:rsidRPr="003611B6">
              <w:rPr>
                <w:rFonts w:ascii="Times New Roman" w:hAnsi="Times New Roman" w:cs="Times New Roman"/>
                <w:b/>
                <w:sz w:val="20"/>
                <w:szCs w:val="20"/>
              </w:rPr>
              <w:t>360,1</w:t>
            </w:r>
          </w:p>
        </w:tc>
        <w:tc>
          <w:tcPr>
            <w:tcW w:w="998" w:type="dxa"/>
            <w:gridSpan w:val="2"/>
            <w:tcBorders>
              <w:top w:val="nil"/>
              <w:left w:val="nil"/>
              <w:bottom w:val="single" w:sz="4" w:space="0" w:color="auto"/>
              <w:right w:val="single" w:sz="4" w:space="0" w:color="auto"/>
            </w:tcBorders>
            <w:vAlign w:val="center"/>
          </w:tcPr>
          <w:p w:rsidR="00E725F4" w:rsidRPr="003611B6" w:rsidRDefault="00E725F4" w:rsidP="00673351">
            <w:pPr>
              <w:spacing w:after="0" w:line="240" w:lineRule="auto"/>
              <w:jc w:val="center"/>
              <w:rPr>
                <w:rFonts w:ascii="Times New Roman" w:hAnsi="Times New Roman" w:cs="Times New Roman"/>
                <w:b/>
                <w:sz w:val="20"/>
                <w:szCs w:val="20"/>
                <w:lang w:val="ky-KG"/>
              </w:rPr>
            </w:pPr>
            <w:r w:rsidRPr="003611B6">
              <w:rPr>
                <w:rFonts w:ascii="Times New Roman" w:hAnsi="Times New Roman" w:cs="Times New Roman"/>
                <w:b/>
                <w:sz w:val="20"/>
                <w:szCs w:val="20"/>
                <w:lang w:val="ky-KG"/>
              </w:rPr>
              <w:t>330,1</w:t>
            </w:r>
          </w:p>
        </w:tc>
      </w:tr>
      <w:tr w:rsidR="003611B6" w:rsidRPr="003611B6" w:rsidTr="00E725F4">
        <w:trPr>
          <w:trHeight w:val="365"/>
        </w:trPr>
        <w:tc>
          <w:tcPr>
            <w:tcW w:w="4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eastAsia="Times New Roman" w:hAnsi="Times New Roman" w:cs="Times New Roman"/>
                <w:sz w:val="20"/>
                <w:szCs w:val="20"/>
                <w:lang w:val="ky-KG" w:eastAsia="ru-RU"/>
              </w:rPr>
              <w:t>ишканалардын акциялары боюнча дивиденддер</w:t>
            </w:r>
          </w:p>
        </w:tc>
        <w:tc>
          <w:tcPr>
            <w:tcW w:w="1009" w:type="dxa"/>
            <w:tcBorders>
              <w:top w:val="single" w:sz="4" w:space="0" w:color="auto"/>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84,4</w:t>
            </w:r>
          </w:p>
        </w:tc>
        <w:tc>
          <w:tcPr>
            <w:tcW w:w="1010" w:type="dxa"/>
            <w:tcBorders>
              <w:top w:val="single" w:sz="4" w:space="0" w:color="auto"/>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75,0</w:t>
            </w:r>
          </w:p>
        </w:tc>
        <w:tc>
          <w:tcPr>
            <w:tcW w:w="1009" w:type="dxa"/>
            <w:tcBorders>
              <w:top w:val="single" w:sz="4" w:space="0" w:color="auto"/>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rPr>
              <w:t>12</w:t>
            </w:r>
            <w:r w:rsidRPr="003611B6">
              <w:rPr>
                <w:rFonts w:ascii="Times New Roman" w:hAnsi="Times New Roman" w:cs="Times New Roman"/>
                <w:sz w:val="20"/>
                <w:szCs w:val="20"/>
                <w:lang w:val="ky-KG"/>
              </w:rPr>
              <w:t>6,0</w:t>
            </w:r>
          </w:p>
        </w:tc>
        <w:tc>
          <w:tcPr>
            <w:tcW w:w="864" w:type="dxa"/>
            <w:tcBorders>
              <w:top w:val="single" w:sz="4" w:space="0" w:color="auto"/>
              <w:left w:val="nil"/>
              <w:bottom w:val="single" w:sz="4" w:space="0" w:color="auto"/>
              <w:right w:val="single" w:sz="4" w:space="0" w:color="auto"/>
            </w:tcBorders>
            <w:shd w:val="clear" w:color="auto" w:fill="auto"/>
            <w:vAlign w:val="center"/>
          </w:tcPr>
          <w:p w:rsidR="00E725F4" w:rsidRPr="003611B6" w:rsidRDefault="00E725F4" w:rsidP="0067335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51,0</w:t>
            </w:r>
          </w:p>
        </w:tc>
        <w:tc>
          <w:tcPr>
            <w:tcW w:w="998" w:type="dxa"/>
            <w:gridSpan w:val="2"/>
            <w:tcBorders>
              <w:top w:val="single" w:sz="4" w:space="0" w:color="auto"/>
              <w:left w:val="nil"/>
              <w:bottom w:val="single" w:sz="4" w:space="0" w:color="auto"/>
              <w:right w:val="single" w:sz="4" w:space="0" w:color="auto"/>
            </w:tcBorders>
            <w:vAlign w:val="center"/>
          </w:tcPr>
          <w:p w:rsidR="00E725F4" w:rsidRPr="003611B6" w:rsidRDefault="00E725F4" w:rsidP="0067335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rPr>
              <w:t>16</w:t>
            </w:r>
            <w:r w:rsidRPr="003611B6">
              <w:rPr>
                <w:rFonts w:ascii="Times New Roman" w:hAnsi="Times New Roman" w:cs="Times New Roman"/>
                <w:sz w:val="20"/>
                <w:szCs w:val="20"/>
                <w:lang w:val="ky-KG"/>
              </w:rPr>
              <w:t>8,0</w:t>
            </w:r>
          </w:p>
        </w:tc>
      </w:tr>
      <w:tr w:rsidR="003611B6" w:rsidRPr="003611B6" w:rsidTr="00E725F4">
        <w:trPr>
          <w:trHeight w:val="417"/>
        </w:trPr>
        <w:tc>
          <w:tcPr>
            <w:tcW w:w="43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eastAsia="Times New Roman" w:hAnsi="Times New Roman" w:cs="Times New Roman"/>
                <w:sz w:val="20"/>
                <w:szCs w:val="20"/>
                <w:lang w:val="ky-KG" w:eastAsia="ru-RU"/>
              </w:rPr>
              <w:t>убактылуу бош акча каражаттарын МБК жайгаштыруудан  түшкөн кирешелер</w:t>
            </w:r>
          </w:p>
        </w:tc>
        <w:tc>
          <w:tcPr>
            <w:tcW w:w="1009" w:type="dxa"/>
            <w:tcBorders>
              <w:top w:val="single" w:sz="4" w:space="0" w:color="auto"/>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203,3</w:t>
            </w:r>
          </w:p>
        </w:tc>
        <w:tc>
          <w:tcPr>
            <w:tcW w:w="1010" w:type="dxa"/>
            <w:tcBorders>
              <w:top w:val="single" w:sz="4" w:space="0" w:color="auto"/>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0,0</w:t>
            </w:r>
          </w:p>
        </w:tc>
        <w:tc>
          <w:tcPr>
            <w:tcW w:w="1009" w:type="dxa"/>
            <w:tcBorders>
              <w:top w:val="single" w:sz="4" w:space="0" w:color="auto"/>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103,2</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103,2</w:t>
            </w:r>
          </w:p>
        </w:tc>
        <w:tc>
          <w:tcPr>
            <w:tcW w:w="998" w:type="dxa"/>
            <w:gridSpan w:val="2"/>
            <w:tcBorders>
              <w:top w:val="single" w:sz="4" w:space="0" w:color="auto"/>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 </w:t>
            </w:r>
          </w:p>
        </w:tc>
      </w:tr>
      <w:tr w:rsidR="003611B6" w:rsidRPr="003611B6" w:rsidTr="00E725F4">
        <w:trPr>
          <w:trHeight w:val="366"/>
        </w:trPr>
        <w:tc>
          <w:tcPr>
            <w:tcW w:w="4329" w:type="dxa"/>
            <w:tcBorders>
              <w:top w:val="nil"/>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hAnsi="Times New Roman" w:cs="Times New Roman"/>
                <w:sz w:val="20"/>
                <w:szCs w:val="20"/>
                <w:lang w:val="ky-KG"/>
              </w:rPr>
              <w:t xml:space="preserve">камсыздандыруу төгүмдөрүн кечиктирип жана толук эмес төлөгөндүгү үчүн эсептелген </w:t>
            </w:r>
            <w:r w:rsidRPr="003611B6">
              <w:rPr>
                <w:rFonts w:ascii="Times New Roman" w:hAnsi="Times New Roman" w:cs="Times New Roman"/>
                <w:sz w:val="20"/>
                <w:szCs w:val="20"/>
                <w:lang w:val="ky-KG"/>
              </w:rPr>
              <w:lastRenderedPageBreak/>
              <w:t>туумдар жана айыптар</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lastRenderedPageBreak/>
              <w:t>58,5</w:t>
            </w:r>
          </w:p>
        </w:tc>
        <w:tc>
          <w:tcPr>
            <w:tcW w:w="1010"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46,0</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46,0</w:t>
            </w:r>
          </w:p>
        </w:tc>
        <w:tc>
          <w:tcPr>
            <w:tcW w:w="864"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0,0</w:t>
            </w:r>
          </w:p>
        </w:tc>
        <w:tc>
          <w:tcPr>
            <w:tcW w:w="998" w:type="dxa"/>
            <w:gridSpan w:val="2"/>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100,0</w:t>
            </w:r>
          </w:p>
        </w:tc>
      </w:tr>
      <w:tr w:rsidR="003611B6" w:rsidRPr="003611B6" w:rsidTr="00E725F4">
        <w:trPr>
          <w:trHeight w:val="466"/>
        </w:trPr>
        <w:tc>
          <w:tcPr>
            <w:tcW w:w="4329" w:type="dxa"/>
            <w:tcBorders>
              <w:top w:val="nil"/>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hAnsi="Times New Roman" w:cs="Times New Roman"/>
                <w:sz w:val="20"/>
                <w:szCs w:val="20"/>
                <w:lang w:val="ky-KG"/>
              </w:rPr>
              <w:lastRenderedPageBreak/>
              <w:t>эсептердеги акча каражаттарынын калдыктарына эсептелген пайыздар</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47,6</w:t>
            </w:r>
          </w:p>
        </w:tc>
        <w:tc>
          <w:tcPr>
            <w:tcW w:w="1010"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31,0</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62,0</w:t>
            </w:r>
          </w:p>
        </w:tc>
        <w:tc>
          <w:tcPr>
            <w:tcW w:w="864"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31,0</w:t>
            </w:r>
          </w:p>
        </w:tc>
        <w:tc>
          <w:tcPr>
            <w:tcW w:w="998" w:type="dxa"/>
            <w:gridSpan w:val="2"/>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200,0</w:t>
            </w:r>
          </w:p>
        </w:tc>
      </w:tr>
      <w:tr w:rsidR="003611B6" w:rsidRPr="003611B6" w:rsidTr="00E725F4">
        <w:trPr>
          <w:trHeight w:val="267"/>
        </w:trPr>
        <w:tc>
          <w:tcPr>
            <w:tcW w:w="4329" w:type="dxa"/>
            <w:tcBorders>
              <w:top w:val="nil"/>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hAnsi="Times New Roman" w:cs="Times New Roman"/>
                <w:sz w:val="20"/>
                <w:szCs w:val="20"/>
                <w:lang w:val="ky-KG"/>
              </w:rPr>
              <w:t>пенсияларды төлөө үчүн капиталдаштырылган суммалар</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4,2</w:t>
            </w:r>
          </w:p>
        </w:tc>
        <w:tc>
          <w:tcPr>
            <w:tcW w:w="1010"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0,5</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0,5</w:t>
            </w:r>
          </w:p>
        </w:tc>
        <w:tc>
          <w:tcPr>
            <w:tcW w:w="864"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0,0</w:t>
            </w:r>
          </w:p>
        </w:tc>
        <w:tc>
          <w:tcPr>
            <w:tcW w:w="998" w:type="dxa"/>
            <w:gridSpan w:val="2"/>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100,0</w:t>
            </w:r>
          </w:p>
        </w:tc>
      </w:tr>
      <w:tr w:rsidR="003611B6" w:rsidRPr="003611B6" w:rsidTr="00E725F4">
        <w:trPr>
          <w:trHeight w:val="413"/>
        </w:trPr>
        <w:tc>
          <w:tcPr>
            <w:tcW w:w="4329" w:type="dxa"/>
            <w:tcBorders>
              <w:top w:val="nil"/>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hAnsi="Times New Roman" w:cs="Times New Roman"/>
                <w:sz w:val="20"/>
                <w:szCs w:val="20"/>
                <w:lang w:val="ky-KG"/>
              </w:rPr>
              <w:t>регресстик талаптарды коюунун натыйжасында иш берүүчүлөрдөн жана жарандардан өндүрүлүүчү каражаттар</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4,9</w:t>
            </w:r>
          </w:p>
        </w:tc>
        <w:tc>
          <w:tcPr>
            <w:tcW w:w="1010"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3,0</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3,0</w:t>
            </w:r>
          </w:p>
        </w:tc>
        <w:tc>
          <w:tcPr>
            <w:tcW w:w="864"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0,0</w:t>
            </w:r>
          </w:p>
        </w:tc>
        <w:tc>
          <w:tcPr>
            <w:tcW w:w="998" w:type="dxa"/>
            <w:gridSpan w:val="2"/>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100,0</w:t>
            </w:r>
          </w:p>
        </w:tc>
      </w:tr>
      <w:tr w:rsidR="003611B6" w:rsidRPr="003611B6" w:rsidTr="00E725F4">
        <w:trPr>
          <w:trHeight w:val="382"/>
        </w:trPr>
        <w:tc>
          <w:tcPr>
            <w:tcW w:w="4329" w:type="dxa"/>
            <w:tcBorders>
              <w:top w:val="nil"/>
              <w:left w:val="single" w:sz="4" w:space="0" w:color="auto"/>
              <w:bottom w:val="single" w:sz="4" w:space="0" w:color="auto"/>
              <w:right w:val="single" w:sz="4" w:space="0" w:color="auto"/>
            </w:tcBorders>
            <w:shd w:val="clear" w:color="auto" w:fill="auto"/>
            <w:vAlign w:val="center"/>
            <w:hideMark/>
          </w:tcPr>
          <w:p w:rsidR="00E725F4" w:rsidRPr="003611B6" w:rsidRDefault="00E725F4" w:rsidP="00306937">
            <w:pPr>
              <w:spacing w:after="0" w:line="240" w:lineRule="auto"/>
              <w:jc w:val="both"/>
              <w:rPr>
                <w:rFonts w:ascii="Times New Roman" w:eastAsia="Times New Roman" w:hAnsi="Times New Roman" w:cs="Times New Roman"/>
                <w:sz w:val="20"/>
                <w:szCs w:val="20"/>
                <w:lang w:val="ky-KG" w:eastAsia="ru-RU"/>
              </w:rPr>
            </w:pPr>
            <w:r w:rsidRPr="003611B6">
              <w:rPr>
                <w:rFonts w:ascii="Times New Roman" w:hAnsi="Times New Roman" w:cs="Times New Roman"/>
                <w:sz w:val="20"/>
                <w:szCs w:val="20"/>
                <w:lang w:val="ky-KG"/>
              </w:rPr>
              <w:t>башка түшкөн каражаттар</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1,8</w:t>
            </w:r>
          </w:p>
        </w:tc>
        <w:tc>
          <w:tcPr>
            <w:tcW w:w="1010"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1,0</w:t>
            </w:r>
          </w:p>
        </w:tc>
        <w:tc>
          <w:tcPr>
            <w:tcW w:w="1009"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175,9</w:t>
            </w:r>
          </w:p>
        </w:tc>
        <w:tc>
          <w:tcPr>
            <w:tcW w:w="864" w:type="dxa"/>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rPr>
            </w:pPr>
            <w:r w:rsidRPr="003611B6">
              <w:rPr>
                <w:rFonts w:ascii="Times New Roman" w:hAnsi="Times New Roman" w:cs="Times New Roman"/>
                <w:sz w:val="20"/>
                <w:szCs w:val="20"/>
              </w:rPr>
              <w:t>174,9</w:t>
            </w:r>
          </w:p>
        </w:tc>
        <w:tc>
          <w:tcPr>
            <w:tcW w:w="998" w:type="dxa"/>
            <w:gridSpan w:val="2"/>
            <w:tcBorders>
              <w:top w:val="nil"/>
              <w:left w:val="nil"/>
              <w:bottom w:val="single" w:sz="4" w:space="0" w:color="auto"/>
              <w:right w:val="single" w:sz="4" w:space="0" w:color="auto"/>
            </w:tcBorders>
            <w:shd w:val="clear" w:color="000000" w:fill="FFFFFF"/>
            <w:vAlign w:val="center"/>
          </w:tcPr>
          <w:p w:rsidR="00E725F4" w:rsidRPr="003611B6" w:rsidRDefault="00E725F4" w:rsidP="00673351">
            <w:pPr>
              <w:spacing w:after="0" w:line="240" w:lineRule="auto"/>
              <w:jc w:val="center"/>
              <w:rPr>
                <w:rFonts w:ascii="Times New Roman" w:hAnsi="Times New Roman" w:cs="Times New Roman"/>
                <w:sz w:val="20"/>
                <w:szCs w:val="20"/>
                <w:lang w:val="ky-KG"/>
              </w:rPr>
            </w:pPr>
            <w:r w:rsidRPr="003611B6">
              <w:rPr>
                <w:rFonts w:ascii="Times New Roman" w:hAnsi="Times New Roman" w:cs="Times New Roman"/>
                <w:sz w:val="20"/>
                <w:szCs w:val="20"/>
                <w:lang w:val="ky-KG"/>
              </w:rPr>
              <w:t>17590,0</w:t>
            </w:r>
          </w:p>
        </w:tc>
      </w:tr>
    </w:tbl>
    <w:p w:rsidR="003D0D66" w:rsidRPr="003611B6" w:rsidRDefault="001C5D5A" w:rsidP="00DB0DE1">
      <w:pPr>
        <w:spacing w:after="0" w:line="240" w:lineRule="auto"/>
        <w:ind w:firstLine="567"/>
        <w:jc w:val="both"/>
        <w:rPr>
          <w:rFonts w:ascii="Times New Roman" w:hAnsi="Times New Roman" w:cs="Times New Roman"/>
          <w:sz w:val="24"/>
          <w:szCs w:val="24"/>
          <w:lang w:val="ky-KG"/>
        </w:rPr>
      </w:pPr>
      <w:r w:rsidRPr="003611B6">
        <w:br/>
      </w:r>
      <w:r w:rsidRPr="003611B6">
        <w:rPr>
          <w:rFonts w:ascii="Times New Roman" w:hAnsi="Times New Roman" w:cs="Times New Roman"/>
          <w:sz w:val="24"/>
          <w:szCs w:val="24"/>
          <w:lang w:val="ky-KG"/>
        </w:rPr>
        <w:t xml:space="preserve">         Ишканалардын акциялары боюнча дивиденддерден башка кирешелердин түшүүлөрүн 51,0 млн. сомго, мамлекеттик баалуу кагаздарга убактылуу бош каражаттарды жайгаштыруудан түшкөн кирешелерди 103,2 млн. сомго, эсептердеги акча калдыктарына чегерилген пайыздарды 31,0 млн. сомго көбөйтүү пландалууда. </w:t>
      </w:r>
    </w:p>
    <w:p w:rsidR="001C5D5A" w:rsidRPr="003611B6" w:rsidRDefault="001C5D5A" w:rsidP="001C5D5A">
      <w:pPr>
        <w:spacing w:after="0" w:line="240" w:lineRule="auto"/>
        <w:ind w:firstLine="567"/>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Мындан тышкары, башка кирешелерге Кыргыз Республикасынын Финансы министрлигинин жеке жана юридикалык жактардан 2010-жылдын 1-июнунан 2012-жылдын 31-декабрына чейинки мезгилге чегерилген камсыздандыруу төгүмдөрү үчүн Кыргыз Республикасынын Социалдык фондуна төлөп берүү үчүн накталай 174,9 млн. Сом өлчөмүндөгү карызы дагы кирет. Кыргыз Республикасынын Өкмөтүнүн 2017-жылдын 18-августундагы № 359 буйругуна ылайык Ош жана Жалал-Абад облустарындагы тополоң учурунда жабыркагандар.</w:t>
      </w:r>
    </w:p>
    <w:p w:rsidR="001C5D5A" w:rsidRPr="003611B6" w:rsidRDefault="001C5D5A" w:rsidP="00DB0DE1">
      <w:pPr>
        <w:spacing w:after="0" w:line="240" w:lineRule="auto"/>
        <w:ind w:firstLine="567"/>
        <w:jc w:val="both"/>
        <w:rPr>
          <w:rFonts w:ascii="Times New Roman" w:hAnsi="Times New Roman" w:cs="Times New Roman"/>
          <w:sz w:val="24"/>
          <w:szCs w:val="24"/>
          <w:lang w:val="ky-KG"/>
        </w:rPr>
      </w:pPr>
    </w:p>
    <w:p w:rsidR="001C5D5A" w:rsidRPr="003611B6" w:rsidRDefault="001C5D5A" w:rsidP="00DB0DE1">
      <w:pPr>
        <w:spacing w:after="0" w:line="240" w:lineRule="auto"/>
        <w:ind w:firstLine="567"/>
        <w:jc w:val="both"/>
        <w:rPr>
          <w:rFonts w:ascii="Times New Roman" w:hAnsi="Times New Roman" w:cs="Times New Roman"/>
          <w:sz w:val="24"/>
          <w:szCs w:val="24"/>
          <w:lang w:val="ky-KG"/>
        </w:rPr>
      </w:pPr>
    </w:p>
    <w:p w:rsidR="00E8680D" w:rsidRPr="003611B6" w:rsidRDefault="00E8680D" w:rsidP="00DB0DE1">
      <w:pPr>
        <w:spacing w:after="0" w:line="240" w:lineRule="auto"/>
        <w:ind w:firstLine="567"/>
        <w:jc w:val="center"/>
        <w:rPr>
          <w:rFonts w:ascii="Times New Roman" w:hAnsi="Times New Roman" w:cs="Times New Roman"/>
          <w:b/>
          <w:sz w:val="24"/>
          <w:szCs w:val="24"/>
          <w:lang w:val="ky-KG"/>
        </w:rPr>
      </w:pPr>
      <w:r w:rsidRPr="003611B6">
        <w:rPr>
          <w:rFonts w:ascii="Times New Roman" w:hAnsi="Times New Roman" w:cs="Times New Roman"/>
          <w:b/>
          <w:sz w:val="24"/>
          <w:szCs w:val="24"/>
          <w:lang w:val="ky-KG"/>
        </w:rPr>
        <w:t>Чыгымд</w:t>
      </w:r>
      <w:r w:rsidR="004948BB" w:rsidRPr="003611B6">
        <w:rPr>
          <w:rFonts w:ascii="Times New Roman" w:hAnsi="Times New Roman" w:cs="Times New Roman"/>
          <w:b/>
          <w:sz w:val="24"/>
          <w:szCs w:val="24"/>
          <w:lang w:val="ky-KG"/>
        </w:rPr>
        <w:t>ар</w:t>
      </w:r>
      <w:r w:rsidRPr="003611B6">
        <w:rPr>
          <w:rFonts w:ascii="Times New Roman" w:hAnsi="Times New Roman" w:cs="Times New Roman"/>
          <w:b/>
          <w:sz w:val="24"/>
          <w:szCs w:val="24"/>
          <w:lang w:val="ky-KG"/>
        </w:rPr>
        <w:t xml:space="preserve"> бөлүгү</w:t>
      </w:r>
    </w:p>
    <w:p w:rsidR="0081343D" w:rsidRPr="003611B6" w:rsidRDefault="0081343D" w:rsidP="0081343D">
      <w:pPr>
        <w:spacing w:after="0" w:line="240" w:lineRule="auto"/>
        <w:ind w:firstLine="567"/>
        <w:jc w:val="both"/>
        <w:rPr>
          <w:rFonts w:ascii="Times New Roman" w:hAnsi="Times New Roman" w:cs="Times New Roman"/>
          <w:sz w:val="24"/>
          <w:szCs w:val="24"/>
          <w:lang w:val="ky-KG"/>
        </w:rPr>
      </w:pPr>
      <w:r w:rsidRPr="003611B6">
        <w:br/>
      </w:r>
      <w:r w:rsidRPr="003611B6">
        <w:rPr>
          <w:rFonts w:ascii="Times New Roman" w:hAnsi="Times New Roman" w:cs="Times New Roman"/>
          <w:sz w:val="24"/>
          <w:szCs w:val="24"/>
          <w:lang w:val="ky-KG"/>
        </w:rPr>
        <w:t xml:space="preserve">          Мамлекеттик пенсиялык социалдык камсыздандыруу жаатындагы мамлекеттик саясаттын максаты пенсияларды жана жөлөкпулдарды өз убагында төлөө, пенсиянын базалык жана камсыздандыруу бөлүктөрүн жыл сайын индекстөө болуп саналат.</w:t>
      </w:r>
    </w:p>
    <w:p w:rsidR="0081343D" w:rsidRPr="003611B6" w:rsidRDefault="0081343D" w:rsidP="0081343D">
      <w:pPr>
        <w:spacing w:after="0" w:line="240" w:lineRule="auto"/>
        <w:ind w:firstLine="567"/>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Социалдык фонддун бюджеттик саясатынын негизги максаты Кыргыз Республикасынын пенсиялык тутумунун туруктуулугун колдоо болуп саналат.</w:t>
      </w:r>
    </w:p>
    <w:p w:rsidR="0081343D" w:rsidRPr="003611B6" w:rsidRDefault="0081343D" w:rsidP="0081343D">
      <w:pPr>
        <w:spacing w:after="0" w:line="240" w:lineRule="auto"/>
        <w:ind w:firstLine="567"/>
        <w:jc w:val="both"/>
        <w:rPr>
          <w:rFonts w:ascii="Times New Roman" w:hAnsi="Times New Roman" w:cs="Times New Roman"/>
          <w:sz w:val="24"/>
          <w:szCs w:val="24"/>
          <w:lang w:val="ky-KG"/>
        </w:rPr>
      </w:pPr>
    </w:p>
    <w:p w:rsidR="0081343D" w:rsidRPr="003611B6" w:rsidRDefault="0081343D" w:rsidP="0081343D">
      <w:pPr>
        <w:spacing w:after="0" w:line="240" w:lineRule="auto"/>
        <w:ind w:left="1416" w:firstLine="708"/>
        <w:jc w:val="both"/>
        <w:rPr>
          <w:rFonts w:ascii="Times New Roman" w:hAnsi="Times New Roman" w:cs="Times New Roman"/>
          <w:b/>
          <w:sz w:val="24"/>
          <w:szCs w:val="24"/>
          <w:lang w:val="ky-KG"/>
        </w:rPr>
      </w:pPr>
      <w:r w:rsidRPr="003611B6">
        <w:rPr>
          <w:rFonts w:ascii="Times New Roman" w:hAnsi="Times New Roman" w:cs="Times New Roman"/>
          <w:b/>
          <w:sz w:val="24"/>
          <w:szCs w:val="24"/>
          <w:lang w:val="ky-KG"/>
        </w:rPr>
        <w:t>Бюджеттин чыгаша бөлүгүнүн негизги параметрлери</w:t>
      </w:r>
    </w:p>
    <w:p w:rsidR="0081343D" w:rsidRPr="003611B6" w:rsidRDefault="0081343D" w:rsidP="007B3DEE">
      <w:pPr>
        <w:spacing w:after="0"/>
        <w:ind w:left="1416" w:firstLine="708"/>
        <w:jc w:val="both"/>
        <w:rPr>
          <w:rFonts w:ascii="Times New Roman" w:hAnsi="Times New Roman" w:cs="Times New Roman"/>
          <w:b/>
          <w:sz w:val="24"/>
          <w:szCs w:val="24"/>
          <w:lang w:val="ky-KG"/>
        </w:rPr>
      </w:pPr>
    </w:p>
    <w:p w:rsidR="0081343D" w:rsidRPr="003611B6" w:rsidRDefault="0081343D" w:rsidP="007B3DEE">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Социалдык фонддун 2020-жылга бюджетинин чыгашалары 57 578,8 млн. сом өлчөмүндө такталган, бул бекитилген бюджеттен 473,9 млн. сомго көп.</w:t>
      </w:r>
    </w:p>
    <w:p w:rsidR="007B3DEE" w:rsidRPr="003611B6" w:rsidRDefault="007B3DEE" w:rsidP="007B3DEE">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Электр энергиясына компенсацияны эске алуу менен пенсияларды төлөөгө корректировкаланган чыгымдар 47 999,6 млн. сомду түзөт же бекитилген бюджеттен 366,3 млн</w:t>
      </w:r>
      <w:r w:rsidR="00B90FFD" w:rsidRPr="003611B6">
        <w:rPr>
          <w:rFonts w:ascii="Times New Roman" w:hAnsi="Times New Roman" w:cs="Times New Roman"/>
          <w:sz w:val="24"/>
          <w:szCs w:val="24"/>
          <w:lang w:val="ky-KG"/>
        </w:rPr>
        <w:t>.</w:t>
      </w:r>
      <w:r w:rsidRPr="003611B6">
        <w:rPr>
          <w:rFonts w:ascii="Times New Roman" w:hAnsi="Times New Roman" w:cs="Times New Roman"/>
          <w:sz w:val="24"/>
          <w:szCs w:val="24"/>
          <w:lang w:val="ky-KG"/>
        </w:rPr>
        <w:t>сомго көп. Чыгымдардын көбөйүшү пенсиялардын көбөйүшү менен байланыштуу.</w:t>
      </w:r>
    </w:p>
    <w:p w:rsidR="007B3DEE" w:rsidRPr="003611B6" w:rsidRDefault="00B90FFD" w:rsidP="007B3DEE">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Пенсиянын базалык жана камсыздандыруу бөлүктөрүн көбөйтүү 2020-жылдын 1-октябрына пландаштырылууда. Кыргыз Республикасынын Социалдык фондунун бюджетинде пенсияларды көбөйтүү үчүн 829,7 млн. сом каралган.</w:t>
      </w:r>
    </w:p>
    <w:p w:rsidR="00B90FFD" w:rsidRPr="003611B6" w:rsidRDefault="00B90FFD" w:rsidP="007B3DEE">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 xml:space="preserve">Пенсионерди акыркы сапарга узатуу үчүн жөлөкпулдун өлчөмү пенсиянын базалык бөлүгүнүн он эселенген өлчөмүндө белгиленет. Сөөк коюуга гранттарды төлөө үчүн 2020-жылы 368,5 млн. </w:t>
      </w:r>
      <w:r w:rsidR="001328D3" w:rsidRPr="003611B6">
        <w:rPr>
          <w:rFonts w:ascii="Times New Roman" w:hAnsi="Times New Roman" w:cs="Times New Roman"/>
          <w:sz w:val="24"/>
          <w:szCs w:val="24"/>
          <w:lang w:val="ky-KG"/>
        </w:rPr>
        <w:t>с</w:t>
      </w:r>
      <w:r w:rsidRPr="003611B6">
        <w:rPr>
          <w:rFonts w:ascii="Times New Roman" w:hAnsi="Times New Roman" w:cs="Times New Roman"/>
          <w:sz w:val="24"/>
          <w:szCs w:val="24"/>
          <w:lang w:val="ky-KG"/>
        </w:rPr>
        <w:t>ом суммасында каражат каралган.</w:t>
      </w:r>
    </w:p>
    <w:p w:rsidR="001328D3" w:rsidRPr="003611B6" w:rsidRDefault="001328D3" w:rsidP="001328D3">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2020-жылы Милдеттүү медициналык камсыздандыруу фондуна 2423,4 млн. сом бөлүү пландалууда. Эмгекчилердин ден соолугун чыңдоо фондун каржылоо 303,9 млн. сомду түзөт.</w:t>
      </w:r>
    </w:p>
    <w:p w:rsidR="001328D3" w:rsidRPr="003611B6" w:rsidRDefault="001328D3" w:rsidP="001328D3">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t>Мамлекеттик топтомо пенсиялык фондуна 2020-жылга 1855,7 млн. сом суммасында камсыздандыруу төгүмдөрү пландалган.</w:t>
      </w:r>
    </w:p>
    <w:p w:rsidR="001328D3" w:rsidRPr="003611B6" w:rsidRDefault="001328D3" w:rsidP="001328D3">
      <w:pPr>
        <w:spacing w:after="0"/>
        <w:ind w:firstLine="708"/>
        <w:jc w:val="both"/>
        <w:rPr>
          <w:rFonts w:ascii="Times New Roman" w:hAnsi="Times New Roman" w:cs="Times New Roman"/>
          <w:sz w:val="24"/>
          <w:szCs w:val="24"/>
          <w:lang w:val="ky-KG"/>
        </w:rPr>
      </w:pPr>
      <w:r w:rsidRPr="003611B6">
        <w:rPr>
          <w:rFonts w:ascii="Times New Roman" w:hAnsi="Times New Roman" w:cs="Times New Roman"/>
          <w:sz w:val="24"/>
          <w:szCs w:val="24"/>
          <w:lang w:val="ky-KG"/>
        </w:rPr>
        <w:lastRenderedPageBreak/>
        <w:t>Социалдык фонддун 2020-жылга бюджетинин тартыштыгы 352,9 млн. сом өлчөмүндө болжолдонууда. Бул COVID-19 коронавирус пандемиясынын кесепетинен экономикалык көрсөткүчтөрдүн төмөндөшүнө, Кыргыз Республикасынын аймагында 2020-жылдын 22-мартынан баштап өзгөчө кырдаал режиминин киргизилишине жана анын натыйжасында Кыргыз Республикасынын Социалдык фондунун бюджетине камсыздандыруу төгүмдөрүнүн жоктугуна байланыштуу.</w:t>
      </w:r>
    </w:p>
    <w:p w:rsidR="001328D3" w:rsidRPr="003611B6" w:rsidRDefault="001328D3" w:rsidP="007B3DEE">
      <w:pPr>
        <w:spacing w:after="0"/>
        <w:ind w:firstLine="708"/>
        <w:jc w:val="both"/>
        <w:rPr>
          <w:rFonts w:ascii="Times New Roman" w:hAnsi="Times New Roman" w:cs="Times New Roman"/>
          <w:sz w:val="24"/>
          <w:szCs w:val="24"/>
          <w:lang w:val="ky-KG"/>
        </w:rPr>
      </w:pPr>
    </w:p>
    <w:p w:rsidR="00BF3B40" w:rsidRPr="003611B6" w:rsidRDefault="00BF3B40" w:rsidP="00DB0DE1">
      <w:pPr>
        <w:spacing w:after="0" w:line="240" w:lineRule="auto"/>
        <w:ind w:firstLine="567"/>
        <w:jc w:val="both"/>
        <w:rPr>
          <w:rFonts w:ascii="Times New Roman" w:hAnsi="Times New Roman"/>
          <w:sz w:val="24"/>
          <w:szCs w:val="24"/>
          <w:lang w:val="ky-KG"/>
        </w:rPr>
      </w:pPr>
    </w:p>
    <w:p w:rsidR="00001238" w:rsidRPr="003611B6" w:rsidRDefault="003A6647" w:rsidP="00DB0DE1">
      <w:pPr>
        <w:spacing w:after="0" w:line="240" w:lineRule="auto"/>
        <w:ind w:firstLine="567"/>
        <w:jc w:val="both"/>
        <w:rPr>
          <w:sz w:val="24"/>
          <w:szCs w:val="24"/>
          <w:lang w:val="ky-KG"/>
        </w:rPr>
      </w:pPr>
      <w:r w:rsidRPr="003611B6">
        <w:rPr>
          <w:rFonts w:ascii="Times New Roman" w:hAnsi="Times New Roman"/>
          <w:b/>
          <w:sz w:val="24"/>
          <w:szCs w:val="24"/>
          <w:lang w:val="ky-KG"/>
        </w:rPr>
        <w:t xml:space="preserve">Төрага </w:t>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r>
      <w:r w:rsidRPr="003611B6">
        <w:rPr>
          <w:rFonts w:ascii="Times New Roman" w:hAnsi="Times New Roman"/>
          <w:b/>
          <w:sz w:val="24"/>
          <w:szCs w:val="24"/>
          <w:lang w:val="ky-KG"/>
        </w:rPr>
        <w:tab/>
        <w:t>М. Ирсалиев</w:t>
      </w:r>
    </w:p>
    <w:sectPr w:rsidR="00001238" w:rsidRPr="003611B6" w:rsidSect="00D71DE3">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1CC" w:rsidRDefault="002F51CC">
      <w:pPr>
        <w:spacing w:after="0" w:line="240" w:lineRule="auto"/>
      </w:pPr>
      <w:r>
        <w:separator/>
      </w:r>
    </w:p>
  </w:endnote>
  <w:endnote w:type="continuationSeparator" w:id="0">
    <w:p w:rsidR="002F51CC" w:rsidRDefault="002F5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DE3" w:rsidRDefault="00D71DE3">
    <w:pPr>
      <w:pStyle w:val="a5"/>
      <w:jc w:val="right"/>
    </w:pPr>
  </w:p>
  <w:p w:rsidR="00D71DE3" w:rsidRDefault="00D71DE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1CC" w:rsidRDefault="002F51CC">
      <w:pPr>
        <w:spacing w:after="0" w:line="240" w:lineRule="auto"/>
      </w:pPr>
      <w:r>
        <w:separator/>
      </w:r>
    </w:p>
  </w:footnote>
  <w:footnote w:type="continuationSeparator" w:id="0">
    <w:p w:rsidR="002F51CC" w:rsidRDefault="002F51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488"/>
    <w:rsid w:val="00001238"/>
    <w:rsid w:val="00006C08"/>
    <w:rsid w:val="00007396"/>
    <w:rsid w:val="00016B30"/>
    <w:rsid w:val="00016F5E"/>
    <w:rsid w:val="00035EBC"/>
    <w:rsid w:val="000420E7"/>
    <w:rsid w:val="00043F15"/>
    <w:rsid w:val="00044F2B"/>
    <w:rsid w:val="00062193"/>
    <w:rsid w:val="00084B1D"/>
    <w:rsid w:val="000A20CE"/>
    <w:rsid w:val="000A243B"/>
    <w:rsid w:val="000C3739"/>
    <w:rsid w:val="000F1953"/>
    <w:rsid w:val="000F48AC"/>
    <w:rsid w:val="001027D0"/>
    <w:rsid w:val="00124562"/>
    <w:rsid w:val="00125E7A"/>
    <w:rsid w:val="001328D3"/>
    <w:rsid w:val="001601D9"/>
    <w:rsid w:val="001639FF"/>
    <w:rsid w:val="00175F46"/>
    <w:rsid w:val="00182CA1"/>
    <w:rsid w:val="001A3CDC"/>
    <w:rsid w:val="001A6345"/>
    <w:rsid w:val="001A6ED7"/>
    <w:rsid w:val="001A7D48"/>
    <w:rsid w:val="001B5AFD"/>
    <w:rsid w:val="001B649D"/>
    <w:rsid w:val="001C0BB9"/>
    <w:rsid w:val="001C1798"/>
    <w:rsid w:val="001C2F06"/>
    <w:rsid w:val="001C5D5A"/>
    <w:rsid w:val="001D33F4"/>
    <w:rsid w:val="001F3045"/>
    <w:rsid w:val="00210069"/>
    <w:rsid w:val="002118F1"/>
    <w:rsid w:val="002225F8"/>
    <w:rsid w:val="00230B83"/>
    <w:rsid w:val="002374C0"/>
    <w:rsid w:val="00266DDA"/>
    <w:rsid w:val="00284042"/>
    <w:rsid w:val="002842E0"/>
    <w:rsid w:val="00284BDE"/>
    <w:rsid w:val="00294771"/>
    <w:rsid w:val="002A3FC2"/>
    <w:rsid w:val="002B4DEA"/>
    <w:rsid w:val="002F3201"/>
    <w:rsid w:val="002F51B7"/>
    <w:rsid w:val="002F51CC"/>
    <w:rsid w:val="002F6796"/>
    <w:rsid w:val="002F7772"/>
    <w:rsid w:val="00303F6A"/>
    <w:rsid w:val="003057A1"/>
    <w:rsid w:val="00306937"/>
    <w:rsid w:val="00310013"/>
    <w:rsid w:val="003309A2"/>
    <w:rsid w:val="00343472"/>
    <w:rsid w:val="003526DF"/>
    <w:rsid w:val="003611B6"/>
    <w:rsid w:val="003A6647"/>
    <w:rsid w:val="003C6066"/>
    <w:rsid w:val="003D0D66"/>
    <w:rsid w:val="003D1C7C"/>
    <w:rsid w:val="003F74FC"/>
    <w:rsid w:val="00414F55"/>
    <w:rsid w:val="004232A2"/>
    <w:rsid w:val="00436777"/>
    <w:rsid w:val="00443246"/>
    <w:rsid w:val="00443EF5"/>
    <w:rsid w:val="00454BB7"/>
    <w:rsid w:val="004650FA"/>
    <w:rsid w:val="00467FA9"/>
    <w:rsid w:val="00477FC5"/>
    <w:rsid w:val="004948BB"/>
    <w:rsid w:val="004A47A0"/>
    <w:rsid w:val="004B3DF0"/>
    <w:rsid w:val="004C7929"/>
    <w:rsid w:val="004E00B1"/>
    <w:rsid w:val="004E7580"/>
    <w:rsid w:val="004F0EFA"/>
    <w:rsid w:val="0051238B"/>
    <w:rsid w:val="00512CFC"/>
    <w:rsid w:val="00514197"/>
    <w:rsid w:val="00514369"/>
    <w:rsid w:val="0052348A"/>
    <w:rsid w:val="0054697F"/>
    <w:rsid w:val="00554385"/>
    <w:rsid w:val="00563D9A"/>
    <w:rsid w:val="0056518B"/>
    <w:rsid w:val="00571BEE"/>
    <w:rsid w:val="0057629A"/>
    <w:rsid w:val="005814DA"/>
    <w:rsid w:val="0058579A"/>
    <w:rsid w:val="005940E6"/>
    <w:rsid w:val="00597DC3"/>
    <w:rsid w:val="005A3A43"/>
    <w:rsid w:val="005A6577"/>
    <w:rsid w:val="005A776B"/>
    <w:rsid w:val="005C0F47"/>
    <w:rsid w:val="005E14FE"/>
    <w:rsid w:val="005E330A"/>
    <w:rsid w:val="005E4712"/>
    <w:rsid w:val="005E5727"/>
    <w:rsid w:val="005F54DD"/>
    <w:rsid w:val="005F756D"/>
    <w:rsid w:val="00601AEC"/>
    <w:rsid w:val="006066B3"/>
    <w:rsid w:val="0061378B"/>
    <w:rsid w:val="00640546"/>
    <w:rsid w:val="006412B9"/>
    <w:rsid w:val="00660488"/>
    <w:rsid w:val="00687779"/>
    <w:rsid w:val="006B66E3"/>
    <w:rsid w:val="006D5F8A"/>
    <w:rsid w:val="006E279C"/>
    <w:rsid w:val="006F211E"/>
    <w:rsid w:val="007224ED"/>
    <w:rsid w:val="00734995"/>
    <w:rsid w:val="00747117"/>
    <w:rsid w:val="00774C6E"/>
    <w:rsid w:val="0077729A"/>
    <w:rsid w:val="00787488"/>
    <w:rsid w:val="007914A5"/>
    <w:rsid w:val="00797621"/>
    <w:rsid w:val="007B109F"/>
    <w:rsid w:val="007B142C"/>
    <w:rsid w:val="007B3DEE"/>
    <w:rsid w:val="007B6B8D"/>
    <w:rsid w:val="007C4FC1"/>
    <w:rsid w:val="007D13E5"/>
    <w:rsid w:val="007E24AE"/>
    <w:rsid w:val="008023F7"/>
    <w:rsid w:val="008078F7"/>
    <w:rsid w:val="0081343D"/>
    <w:rsid w:val="00813D8C"/>
    <w:rsid w:val="008248CF"/>
    <w:rsid w:val="00826156"/>
    <w:rsid w:val="008417C1"/>
    <w:rsid w:val="00841CED"/>
    <w:rsid w:val="0084532E"/>
    <w:rsid w:val="00860AE5"/>
    <w:rsid w:val="00876B2E"/>
    <w:rsid w:val="008A6937"/>
    <w:rsid w:val="008B60BA"/>
    <w:rsid w:val="00934261"/>
    <w:rsid w:val="00942C13"/>
    <w:rsid w:val="00962544"/>
    <w:rsid w:val="00977054"/>
    <w:rsid w:val="00983052"/>
    <w:rsid w:val="009E6488"/>
    <w:rsid w:val="009F2601"/>
    <w:rsid w:val="009F525C"/>
    <w:rsid w:val="009F764C"/>
    <w:rsid w:val="009F7978"/>
    <w:rsid w:val="00A04ACC"/>
    <w:rsid w:val="00A06446"/>
    <w:rsid w:val="00A115CE"/>
    <w:rsid w:val="00A43FF7"/>
    <w:rsid w:val="00A91DC2"/>
    <w:rsid w:val="00A97F5B"/>
    <w:rsid w:val="00AA1B7B"/>
    <w:rsid w:val="00AA5FE9"/>
    <w:rsid w:val="00AA6926"/>
    <w:rsid w:val="00AB1D15"/>
    <w:rsid w:val="00AB51A3"/>
    <w:rsid w:val="00AD5FA1"/>
    <w:rsid w:val="00AD79F3"/>
    <w:rsid w:val="00AE72DE"/>
    <w:rsid w:val="00AF19D5"/>
    <w:rsid w:val="00AF4E84"/>
    <w:rsid w:val="00B01556"/>
    <w:rsid w:val="00B21020"/>
    <w:rsid w:val="00B2544A"/>
    <w:rsid w:val="00B60B06"/>
    <w:rsid w:val="00B61933"/>
    <w:rsid w:val="00B6421D"/>
    <w:rsid w:val="00B84156"/>
    <w:rsid w:val="00B84C87"/>
    <w:rsid w:val="00B90FFD"/>
    <w:rsid w:val="00B93F43"/>
    <w:rsid w:val="00BB288D"/>
    <w:rsid w:val="00BD1BD4"/>
    <w:rsid w:val="00BF3B40"/>
    <w:rsid w:val="00C02E94"/>
    <w:rsid w:val="00C04028"/>
    <w:rsid w:val="00C05856"/>
    <w:rsid w:val="00C247D7"/>
    <w:rsid w:val="00C434A0"/>
    <w:rsid w:val="00C50756"/>
    <w:rsid w:val="00C667FA"/>
    <w:rsid w:val="00C77673"/>
    <w:rsid w:val="00C91FF0"/>
    <w:rsid w:val="00C93941"/>
    <w:rsid w:val="00CB6012"/>
    <w:rsid w:val="00CC5969"/>
    <w:rsid w:val="00CD75C7"/>
    <w:rsid w:val="00CE3D7D"/>
    <w:rsid w:val="00CE5056"/>
    <w:rsid w:val="00CE7830"/>
    <w:rsid w:val="00CF5838"/>
    <w:rsid w:val="00D43805"/>
    <w:rsid w:val="00D554D8"/>
    <w:rsid w:val="00D61E20"/>
    <w:rsid w:val="00D65857"/>
    <w:rsid w:val="00D668AF"/>
    <w:rsid w:val="00D66A4F"/>
    <w:rsid w:val="00D71DE3"/>
    <w:rsid w:val="00D74200"/>
    <w:rsid w:val="00DA2571"/>
    <w:rsid w:val="00DB0DE1"/>
    <w:rsid w:val="00DC2C6E"/>
    <w:rsid w:val="00DC550E"/>
    <w:rsid w:val="00DE222A"/>
    <w:rsid w:val="00DE2A4A"/>
    <w:rsid w:val="00DE7DEA"/>
    <w:rsid w:val="00DF11DA"/>
    <w:rsid w:val="00E05DA3"/>
    <w:rsid w:val="00E31E9E"/>
    <w:rsid w:val="00E321A8"/>
    <w:rsid w:val="00E3230C"/>
    <w:rsid w:val="00E4262A"/>
    <w:rsid w:val="00E55067"/>
    <w:rsid w:val="00E55834"/>
    <w:rsid w:val="00E61BAC"/>
    <w:rsid w:val="00E70F8E"/>
    <w:rsid w:val="00E725F4"/>
    <w:rsid w:val="00E73C45"/>
    <w:rsid w:val="00E77954"/>
    <w:rsid w:val="00E8680D"/>
    <w:rsid w:val="00EA3683"/>
    <w:rsid w:val="00EA568E"/>
    <w:rsid w:val="00EA616C"/>
    <w:rsid w:val="00EA73D6"/>
    <w:rsid w:val="00EB393F"/>
    <w:rsid w:val="00EB7D9A"/>
    <w:rsid w:val="00EC53BF"/>
    <w:rsid w:val="00ED4991"/>
    <w:rsid w:val="00ED7AD8"/>
    <w:rsid w:val="00EE1703"/>
    <w:rsid w:val="00EE79EB"/>
    <w:rsid w:val="00F039ED"/>
    <w:rsid w:val="00F05319"/>
    <w:rsid w:val="00F104C9"/>
    <w:rsid w:val="00F12000"/>
    <w:rsid w:val="00F656DA"/>
    <w:rsid w:val="00F702F9"/>
    <w:rsid w:val="00F80798"/>
    <w:rsid w:val="00F835C1"/>
    <w:rsid w:val="00FA3179"/>
    <w:rsid w:val="00FC3ED9"/>
    <w:rsid w:val="00FD0A05"/>
    <w:rsid w:val="00FE6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B4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B40"/>
    <w:pPr>
      <w:ind w:left="720"/>
      <w:contextualSpacing/>
    </w:pPr>
  </w:style>
  <w:style w:type="table" w:styleId="a4">
    <w:name w:val="Table Grid"/>
    <w:basedOn w:val="a1"/>
    <w:uiPriority w:val="59"/>
    <w:rsid w:val="00BF3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BF3B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F3B40"/>
  </w:style>
  <w:style w:type="paragraph" w:styleId="a7">
    <w:name w:val="Normal (Web)"/>
    <w:basedOn w:val="a"/>
    <w:uiPriority w:val="99"/>
    <w:semiHidden/>
    <w:unhideWhenUsed/>
    <w:rsid w:val="00BF3B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F3B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F3B40"/>
    <w:rPr>
      <w:rFonts w:ascii="Tahoma" w:hAnsi="Tahoma" w:cs="Tahoma"/>
      <w:sz w:val="16"/>
      <w:szCs w:val="16"/>
    </w:rPr>
  </w:style>
  <w:style w:type="paragraph" w:styleId="2">
    <w:name w:val="Body Text Indent 2"/>
    <w:basedOn w:val="a"/>
    <w:link w:val="20"/>
    <w:uiPriority w:val="99"/>
    <w:semiHidden/>
    <w:unhideWhenUsed/>
    <w:rsid w:val="002B4DEA"/>
    <w:pPr>
      <w:spacing w:after="120" w:line="480" w:lineRule="auto"/>
      <w:ind w:left="283"/>
    </w:pPr>
  </w:style>
  <w:style w:type="character" w:customStyle="1" w:styleId="20">
    <w:name w:val="Основной текст с отступом 2 Знак"/>
    <w:basedOn w:val="a0"/>
    <w:link w:val="2"/>
    <w:uiPriority w:val="99"/>
    <w:semiHidden/>
    <w:rsid w:val="002B4DEA"/>
  </w:style>
  <w:style w:type="paragraph" w:customStyle="1" w:styleId="tkTekst">
    <w:name w:val="_Текст обычный (tkTekst)"/>
    <w:basedOn w:val="a"/>
    <w:rsid w:val="00284042"/>
    <w:pPr>
      <w:spacing w:after="60"/>
      <w:ind w:firstLine="567"/>
      <w:jc w:val="both"/>
    </w:pPr>
    <w:rPr>
      <w:rFonts w:ascii="Arial" w:eastAsia="Times New Roman" w:hAnsi="Arial" w:cs="Arial"/>
      <w:sz w:val="20"/>
      <w:szCs w:val="20"/>
      <w:lang w:eastAsia="ru-RU"/>
    </w:rPr>
  </w:style>
  <w:style w:type="paragraph" w:styleId="aa">
    <w:name w:val="header"/>
    <w:basedOn w:val="a"/>
    <w:link w:val="ab"/>
    <w:uiPriority w:val="99"/>
    <w:unhideWhenUsed/>
    <w:rsid w:val="00FA317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3179"/>
  </w:style>
  <w:style w:type="paragraph" w:styleId="HTML">
    <w:name w:val="HTML Preformatted"/>
    <w:basedOn w:val="a"/>
    <w:link w:val="HTML0"/>
    <w:uiPriority w:val="99"/>
    <w:semiHidden/>
    <w:unhideWhenUsed/>
    <w:rsid w:val="005A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A6577"/>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B4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B40"/>
    <w:pPr>
      <w:ind w:left="720"/>
      <w:contextualSpacing/>
    </w:pPr>
  </w:style>
  <w:style w:type="table" w:styleId="a4">
    <w:name w:val="Table Grid"/>
    <w:basedOn w:val="a1"/>
    <w:uiPriority w:val="59"/>
    <w:rsid w:val="00BF3B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unhideWhenUsed/>
    <w:rsid w:val="00BF3B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F3B40"/>
  </w:style>
  <w:style w:type="paragraph" w:styleId="a7">
    <w:name w:val="Normal (Web)"/>
    <w:basedOn w:val="a"/>
    <w:uiPriority w:val="99"/>
    <w:semiHidden/>
    <w:unhideWhenUsed/>
    <w:rsid w:val="00BF3B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F3B4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F3B40"/>
    <w:rPr>
      <w:rFonts w:ascii="Tahoma" w:hAnsi="Tahoma" w:cs="Tahoma"/>
      <w:sz w:val="16"/>
      <w:szCs w:val="16"/>
    </w:rPr>
  </w:style>
  <w:style w:type="paragraph" w:styleId="2">
    <w:name w:val="Body Text Indent 2"/>
    <w:basedOn w:val="a"/>
    <w:link w:val="20"/>
    <w:uiPriority w:val="99"/>
    <w:semiHidden/>
    <w:unhideWhenUsed/>
    <w:rsid w:val="002B4DEA"/>
    <w:pPr>
      <w:spacing w:after="120" w:line="480" w:lineRule="auto"/>
      <w:ind w:left="283"/>
    </w:pPr>
  </w:style>
  <w:style w:type="character" w:customStyle="1" w:styleId="20">
    <w:name w:val="Основной текст с отступом 2 Знак"/>
    <w:basedOn w:val="a0"/>
    <w:link w:val="2"/>
    <w:uiPriority w:val="99"/>
    <w:semiHidden/>
    <w:rsid w:val="002B4DEA"/>
  </w:style>
  <w:style w:type="paragraph" w:customStyle="1" w:styleId="tkTekst">
    <w:name w:val="_Текст обычный (tkTekst)"/>
    <w:basedOn w:val="a"/>
    <w:rsid w:val="00284042"/>
    <w:pPr>
      <w:spacing w:after="60"/>
      <w:ind w:firstLine="567"/>
      <w:jc w:val="both"/>
    </w:pPr>
    <w:rPr>
      <w:rFonts w:ascii="Arial" w:eastAsia="Times New Roman" w:hAnsi="Arial" w:cs="Arial"/>
      <w:sz w:val="20"/>
      <w:szCs w:val="20"/>
      <w:lang w:eastAsia="ru-RU"/>
    </w:rPr>
  </w:style>
  <w:style w:type="paragraph" w:styleId="aa">
    <w:name w:val="header"/>
    <w:basedOn w:val="a"/>
    <w:link w:val="ab"/>
    <w:uiPriority w:val="99"/>
    <w:unhideWhenUsed/>
    <w:rsid w:val="00FA317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3179"/>
  </w:style>
  <w:style w:type="paragraph" w:styleId="HTML">
    <w:name w:val="HTML Preformatted"/>
    <w:basedOn w:val="a"/>
    <w:link w:val="HTML0"/>
    <w:uiPriority w:val="99"/>
    <w:semiHidden/>
    <w:unhideWhenUsed/>
    <w:rsid w:val="005A65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A6577"/>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86552">
      <w:bodyDiv w:val="1"/>
      <w:marLeft w:val="0"/>
      <w:marRight w:val="0"/>
      <w:marTop w:val="0"/>
      <w:marBottom w:val="0"/>
      <w:divBdr>
        <w:top w:val="none" w:sz="0" w:space="0" w:color="auto"/>
        <w:left w:val="none" w:sz="0" w:space="0" w:color="auto"/>
        <w:bottom w:val="none" w:sz="0" w:space="0" w:color="auto"/>
        <w:right w:val="none" w:sz="0" w:space="0" w:color="auto"/>
      </w:divBdr>
    </w:div>
    <w:div w:id="71435214">
      <w:bodyDiv w:val="1"/>
      <w:marLeft w:val="0"/>
      <w:marRight w:val="0"/>
      <w:marTop w:val="0"/>
      <w:marBottom w:val="0"/>
      <w:divBdr>
        <w:top w:val="none" w:sz="0" w:space="0" w:color="auto"/>
        <w:left w:val="none" w:sz="0" w:space="0" w:color="auto"/>
        <w:bottom w:val="none" w:sz="0" w:space="0" w:color="auto"/>
        <w:right w:val="none" w:sz="0" w:space="0" w:color="auto"/>
      </w:divBdr>
    </w:div>
    <w:div w:id="124588215">
      <w:bodyDiv w:val="1"/>
      <w:marLeft w:val="0"/>
      <w:marRight w:val="0"/>
      <w:marTop w:val="0"/>
      <w:marBottom w:val="0"/>
      <w:divBdr>
        <w:top w:val="none" w:sz="0" w:space="0" w:color="auto"/>
        <w:left w:val="none" w:sz="0" w:space="0" w:color="auto"/>
        <w:bottom w:val="none" w:sz="0" w:space="0" w:color="auto"/>
        <w:right w:val="none" w:sz="0" w:space="0" w:color="auto"/>
      </w:divBdr>
    </w:div>
    <w:div w:id="802581151">
      <w:bodyDiv w:val="1"/>
      <w:marLeft w:val="0"/>
      <w:marRight w:val="0"/>
      <w:marTop w:val="0"/>
      <w:marBottom w:val="0"/>
      <w:divBdr>
        <w:top w:val="none" w:sz="0" w:space="0" w:color="auto"/>
        <w:left w:val="none" w:sz="0" w:space="0" w:color="auto"/>
        <w:bottom w:val="none" w:sz="0" w:space="0" w:color="auto"/>
        <w:right w:val="none" w:sz="0" w:space="0" w:color="auto"/>
      </w:divBdr>
    </w:div>
    <w:div w:id="1182554492">
      <w:bodyDiv w:val="1"/>
      <w:marLeft w:val="0"/>
      <w:marRight w:val="0"/>
      <w:marTop w:val="0"/>
      <w:marBottom w:val="0"/>
      <w:divBdr>
        <w:top w:val="none" w:sz="0" w:space="0" w:color="auto"/>
        <w:left w:val="none" w:sz="0" w:space="0" w:color="auto"/>
        <w:bottom w:val="none" w:sz="0" w:space="0" w:color="auto"/>
        <w:right w:val="none" w:sz="0" w:space="0" w:color="auto"/>
      </w:divBdr>
    </w:div>
    <w:div w:id="167021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dk1" tx1="lt1" bg2="dk2" tx2="lt2" accent1="accent1" accent2="accent2" accent3="accent3" accent4="accent4" accent5="accent5" accent6="accent6" hlink="hlink" folHlink="folHlink"/>
  <c:chart>
    <c:autoTitleDeleted val="0"/>
    <c:plotArea>
      <c:layout>
        <c:manualLayout>
          <c:layoutTarget val="inner"/>
          <c:xMode val="edge"/>
          <c:yMode val="edge"/>
          <c:x val="2.5180847897836249E-2"/>
          <c:y val="0.10435097267253358"/>
          <c:w val="0.79068172725921781"/>
          <c:h val="0.6111066079975298"/>
        </c:manualLayout>
      </c:layout>
      <c:barChart>
        <c:barDir val="col"/>
        <c:grouping val="clustered"/>
        <c:varyColors val="0"/>
        <c:ser>
          <c:idx val="2"/>
          <c:order val="2"/>
          <c:tx>
            <c:strRef>
              <c:f>Лист1!$D$1</c:f>
              <c:strCache>
                <c:ptCount val="1"/>
                <c:pt idx="0">
                  <c:v>Баардыгы</c:v>
                </c:pt>
              </c:strCache>
            </c:strRef>
          </c:tx>
          <c:spPr>
            <a:solidFill>
              <a:srgbClr val="61BBE3">
                <a:alpha val="61000"/>
              </a:srgbClr>
            </a:solidFill>
          </c:spPr>
          <c:invertIfNegative val="0"/>
          <c:dLbls>
            <c:txPr>
              <a:bodyPr/>
              <a:lstStyle/>
              <a:p>
                <a:pPr>
                  <a:defRPr sz="1050"/>
                </a:pPr>
                <a:endParaRPr lang="ru-RU"/>
              </a:p>
            </c:txPr>
            <c:showLegendKey val="0"/>
            <c:showVal val="1"/>
            <c:showCatName val="0"/>
            <c:showSerName val="0"/>
            <c:showPercent val="0"/>
            <c:showBubbleSize val="0"/>
            <c:showLeaderLines val="0"/>
          </c:dLbls>
          <c:cat>
            <c:strRef>
              <c:f>Лист1!$A$2:$A$5</c:f>
              <c:strCache>
                <c:ptCount val="4"/>
                <c:pt idx="0">
                  <c:v>2018-жыл</c:v>
                </c:pt>
                <c:pt idx="1">
                  <c:v>2019-жыл</c:v>
                </c:pt>
                <c:pt idx="2">
                  <c:v>2020-жыл бекитилген</c:v>
                </c:pt>
                <c:pt idx="3">
                  <c:v>2020-жыл такталган</c:v>
                </c:pt>
              </c:strCache>
            </c:strRef>
          </c:cat>
          <c:val>
            <c:numRef>
              <c:f>Лист1!$D$2:$D$5</c:f>
              <c:numCache>
                <c:formatCode>0.0</c:formatCode>
                <c:ptCount val="4"/>
                <c:pt idx="0">
                  <c:v>30642.1</c:v>
                </c:pt>
                <c:pt idx="1">
                  <c:v>32399.3</c:v>
                </c:pt>
                <c:pt idx="2" formatCode="General">
                  <c:v>35727.69999999999</c:v>
                </c:pt>
                <c:pt idx="3">
                  <c:v>34183.9</c:v>
                </c:pt>
              </c:numCache>
            </c:numRef>
          </c:val>
        </c:ser>
        <c:dLbls>
          <c:showLegendKey val="0"/>
          <c:showVal val="0"/>
          <c:showCatName val="0"/>
          <c:showSerName val="0"/>
          <c:showPercent val="0"/>
          <c:showBubbleSize val="0"/>
        </c:dLbls>
        <c:gapWidth val="150"/>
        <c:overlap val="-36"/>
        <c:axId val="77547776"/>
        <c:axId val="77557760"/>
      </c:barChart>
      <c:lineChart>
        <c:grouping val="standard"/>
        <c:varyColors val="0"/>
        <c:ser>
          <c:idx val="1"/>
          <c:order val="1"/>
          <c:tx>
            <c:strRef>
              <c:f>Лист1!$C$1</c:f>
              <c:strCache>
                <c:ptCount val="1"/>
                <c:pt idx="0">
                  <c:v>уюшпаган сектор</c:v>
                </c:pt>
              </c:strCache>
            </c:strRef>
          </c:tx>
          <c:spPr>
            <a:ln w="38220">
              <a:solidFill>
                <a:srgbClr val="FF0000"/>
              </a:solidFill>
            </a:ln>
          </c:spPr>
          <c:marker>
            <c:spPr>
              <a:solidFill>
                <a:srgbClr val="C00000"/>
              </a:solidFill>
            </c:spPr>
          </c:marker>
          <c:dLbls>
            <c:dLbl>
              <c:idx val="0"/>
              <c:layout>
                <c:manualLayout>
                  <c:x val="2.6905732866325308E-2"/>
                  <c:y val="-4.5311265201126716E-2"/>
                </c:manualLayout>
              </c:layout>
              <c:showLegendKey val="0"/>
              <c:showVal val="1"/>
              <c:showCatName val="0"/>
              <c:showSerName val="0"/>
              <c:showPercent val="0"/>
              <c:showBubbleSize val="0"/>
            </c:dLbl>
            <c:dLbl>
              <c:idx val="1"/>
              <c:layout>
                <c:manualLayout>
                  <c:x val="2.20137814360843E-2"/>
                  <c:y val="-3.3983448900845037E-2"/>
                </c:manualLayout>
              </c:layout>
              <c:showLegendKey val="0"/>
              <c:showVal val="1"/>
              <c:showCatName val="0"/>
              <c:showSerName val="0"/>
              <c:showPercent val="0"/>
              <c:showBubbleSize val="0"/>
            </c:dLbl>
            <c:dLbl>
              <c:idx val="2"/>
              <c:layout>
                <c:manualLayout>
                  <c:x val="2.6905732866325308E-2"/>
                  <c:y val="-3.9647357050985876E-2"/>
                </c:manualLayout>
              </c:layout>
              <c:showLegendKey val="0"/>
              <c:showVal val="1"/>
              <c:showCatName val="0"/>
              <c:showSerName val="0"/>
              <c:showPercent val="0"/>
              <c:showBubbleSize val="0"/>
            </c:dLbl>
            <c:dLbl>
              <c:idx val="3"/>
              <c:layout>
                <c:manualLayout>
                  <c:x val="2.6905732866325308E-2"/>
                  <c:y val="-1.6991724450422518E-2"/>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strRef>
              <c:f>Лист1!$A$2:$A$5</c:f>
              <c:strCache>
                <c:ptCount val="4"/>
                <c:pt idx="0">
                  <c:v>2018-жыл</c:v>
                </c:pt>
                <c:pt idx="1">
                  <c:v>2019-жыл</c:v>
                </c:pt>
                <c:pt idx="2">
                  <c:v>2020-жыл бекитилген</c:v>
                </c:pt>
                <c:pt idx="3">
                  <c:v>2020-жыл такталган</c:v>
                </c:pt>
              </c:strCache>
            </c:strRef>
          </c:cat>
          <c:val>
            <c:numRef>
              <c:f>Лист1!$C$2:$C$5</c:f>
              <c:numCache>
                <c:formatCode>General</c:formatCode>
                <c:ptCount val="4"/>
                <c:pt idx="0" formatCode="0.0">
                  <c:v>1142</c:v>
                </c:pt>
                <c:pt idx="1">
                  <c:v>1339.5</c:v>
                </c:pt>
                <c:pt idx="2">
                  <c:v>1412.2</c:v>
                </c:pt>
                <c:pt idx="3">
                  <c:v>1282.8</c:v>
                </c:pt>
              </c:numCache>
            </c:numRef>
          </c:val>
          <c:smooth val="0"/>
        </c:ser>
        <c:dLbls>
          <c:showLegendKey val="0"/>
          <c:showVal val="0"/>
          <c:showCatName val="0"/>
          <c:showSerName val="0"/>
          <c:showPercent val="0"/>
          <c:showBubbleSize val="0"/>
        </c:dLbls>
        <c:marker val="1"/>
        <c:smooth val="0"/>
        <c:axId val="77540352"/>
        <c:axId val="77546240"/>
      </c:lineChart>
      <c:lineChart>
        <c:grouping val="standard"/>
        <c:varyColors val="0"/>
        <c:ser>
          <c:idx val="0"/>
          <c:order val="0"/>
          <c:tx>
            <c:strRef>
              <c:f>Лист1!$B$1</c:f>
              <c:strCache>
                <c:ptCount val="1"/>
                <c:pt idx="0">
                  <c:v>уюшкан сектор</c:v>
                </c:pt>
              </c:strCache>
            </c:strRef>
          </c:tx>
          <c:spPr>
            <a:ln w="38220">
              <a:solidFill>
                <a:srgbClr val="0070C0"/>
              </a:solidFill>
            </a:ln>
          </c:spPr>
          <c:marker>
            <c:symbol val="none"/>
          </c:marker>
          <c:dLbls>
            <c:dLbl>
              <c:idx val="0"/>
              <c:layout>
                <c:manualLayout>
                  <c:x val="2.9344582510464731E-2"/>
                  <c:y val="5.0890883694544989E-2"/>
                </c:manualLayout>
              </c:layout>
              <c:showLegendKey val="0"/>
              <c:showVal val="1"/>
              <c:showCatName val="0"/>
              <c:showSerName val="0"/>
              <c:showPercent val="0"/>
              <c:showBubbleSize val="0"/>
            </c:dLbl>
            <c:dLbl>
              <c:idx val="1"/>
              <c:layout>
                <c:manualLayout>
                  <c:x val="3.1779772820857123E-2"/>
                  <c:y val="6.2225389650122108E-2"/>
                </c:manualLayout>
              </c:layout>
              <c:showLegendKey val="0"/>
              <c:showVal val="1"/>
              <c:showCatName val="0"/>
              <c:showSerName val="0"/>
              <c:showPercent val="0"/>
              <c:showBubbleSize val="0"/>
            </c:dLbl>
            <c:dLbl>
              <c:idx val="2"/>
              <c:layout>
                <c:manualLayout>
                  <c:x val="2.9340923176717701E-2"/>
                  <c:y val="5.0890883694544989E-2"/>
                </c:manualLayout>
              </c:layout>
              <c:showLegendKey val="0"/>
              <c:showVal val="1"/>
              <c:showCatName val="0"/>
              <c:showSerName val="0"/>
              <c:showPercent val="0"/>
              <c:showBubbleSize val="0"/>
            </c:dLbl>
            <c:dLbl>
              <c:idx val="3"/>
              <c:layout>
                <c:manualLayout>
                  <c:x val="3.6689635726807238E-2"/>
                  <c:y val="3.3983448900845065E-2"/>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strRef>
              <c:f>Лист1!$A$2:$A$5</c:f>
              <c:strCache>
                <c:ptCount val="4"/>
                <c:pt idx="0">
                  <c:v>2018-жыл</c:v>
                </c:pt>
                <c:pt idx="1">
                  <c:v>2019-жыл</c:v>
                </c:pt>
                <c:pt idx="2">
                  <c:v>2020-жыл бекитилген</c:v>
                </c:pt>
                <c:pt idx="3">
                  <c:v>2020-жыл такталган</c:v>
                </c:pt>
              </c:strCache>
            </c:strRef>
          </c:cat>
          <c:val>
            <c:numRef>
              <c:f>Лист1!$B$2:$B$5</c:f>
              <c:numCache>
                <c:formatCode>0.0</c:formatCode>
                <c:ptCount val="4"/>
                <c:pt idx="0">
                  <c:v>29500.1</c:v>
                </c:pt>
                <c:pt idx="1">
                  <c:v>31059.8</c:v>
                </c:pt>
                <c:pt idx="2">
                  <c:v>34315.499999999993</c:v>
                </c:pt>
                <c:pt idx="3">
                  <c:v>32901.1</c:v>
                </c:pt>
              </c:numCache>
            </c:numRef>
          </c:val>
          <c:smooth val="0"/>
        </c:ser>
        <c:dLbls>
          <c:showLegendKey val="0"/>
          <c:showVal val="0"/>
          <c:showCatName val="0"/>
          <c:showSerName val="0"/>
          <c:showPercent val="0"/>
          <c:showBubbleSize val="0"/>
        </c:dLbls>
        <c:marker val="1"/>
        <c:smooth val="0"/>
        <c:axId val="77547776"/>
        <c:axId val="77557760"/>
      </c:lineChart>
      <c:catAx>
        <c:axId val="77540352"/>
        <c:scaling>
          <c:orientation val="minMax"/>
        </c:scaling>
        <c:delete val="0"/>
        <c:axPos val="b"/>
        <c:numFmt formatCode="General" sourceLinked="1"/>
        <c:majorTickMark val="out"/>
        <c:minorTickMark val="none"/>
        <c:tickLblPos val="nextTo"/>
        <c:txPr>
          <a:bodyPr/>
          <a:lstStyle/>
          <a:p>
            <a:pPr>
              <a:defRPr sz="1200" i="0"/>
            </a:pPr>
            <a:endParaRPr lang="ru-RU"/>
          </a:p>
        </c:txPr>
        <c:crossAx val="77546240"/>
        <c:crosses val="autoZero"/>
        <c:auto val="1"/>
        <c:lblAlgn val="ctr"/>
        <c:lblOffset val="100"/>
        <c:noMultiLvlLbl val="0"/>
      </c:catAx>
      <c:valAx>
        <c:axId val="77546240"/>
        <c:scaling>
          <c:orientation val="minMax"/>
          <c:max val="14000"/>
        </c:scaling>
        <c:delete val="0"/>
        <c:axPos val="l"/>
        <c:numFmt formatCode="0.0" sourceLinked="1"/>
        <c:majorTickMark val="out"/>
        <c:minorTickMark val="none"/>
        <c:tickLblPos val="nextTo"/>
        <c:txPr>
          <a:bodyPr/>
          <a:lstStyle/>
          <a:p>
            <a:pPr>
              <a:defRPr sz="100">
                <a:solidFill>
                  <a:schemeClr val="bg1"/>
                </a:solidFill>
              </a:defRPr>
            </a:pPr>
            <a:endParaRPr lang="ru-RU"/>
          </a:p>
        </c:txPr>
        <c:crossAx val="77540352"/>
        <c:crosses val="autoZero"/>
        <c:crossBetween val="between"/>
      </c:valAx>
      <c:catAx>
        <c:axId val="77547776"/>
        <c:scaling>
          <c:orientation val="minMax"/>
        </c:scaling>
        <c:delete val="1"/>
        <c:axPos val="b"/>
        <c:numFmt formatCode="General" sourceLinked="1"/>
        <c:majorTickMark val="out"/>
        <c:minorTickMark val="none"/>
        <c:tickLblPos val="nextTo"/>
        <c:crossAx val="77557760"/>
        <c:crosses val="autoZero"/>
        <c:auto val="1"/>
        <c:lblAlgn val="ctr"/>
        <c:lblOffset val="100"/>
        <c:noMultiLvlLbl val="0"/>
      </c:catAx>
      <c:valAx>
        <c:axId val="77557760"/>
        <c:scaling>
          <c:orientation val="minMax"/>
        </c:scaling>
        <c:delete val="0"/>
        <c:axPos val="r"/>
        <c:numFmt formatCode="0.0" sourceLinked="1"/>
        <c:majorTickMark val="out"/>
        <c:minorTickMark val="none"/>
        <c:tickLblPos val="nextTo"/>
        <c:txPr>
          <a:bodyPr/>
          <a:lstStyle/>
          <a:p>
            <a:pPr>
              <a:defRPr sz="100">
                <a:solidFill>
                  <a:schemeClr val="bg1"/>
                </a:solidFill>
              </a:defRPr>
            </a:pPr>
            <a:endParaRPr lang="ru-RU"/>
          </a:p>
        </c:txPr>
        <c:crossAx val="77547776"/>
        <c:crosses val="max"/>
        <c:crossBetween val="between"/>
      </c:valAx>
      <c:spPr>
        <a:noFill/>
        <a:ln w="25410">
          <a:noFill/>
        </a:ln>
      </c:spPr>
    </c:plotArea>
    <c:legend>
      <c:legendPos val="b"/>
      <c:legendEntry>
        <c:idx val="0"/>
        <c:txPr>
          <a:bodyPr/>
          <a:lstStyle/>
          <a:p>
            <a:pPr>
              <a:defRPr sz="1000"/>
            </a:pPr>
            <a:endParaRPr lang="ru-RU"/>
          </a:p>
        </c:txPr>
      </c:legendEntry>
      <c:legendEntry>
        <c:idx val="1"/>
        <c:txPr>
          <a:bodyPr/>
          <a:lstStyle/>
          <a:p>
            <a:pPr>
              <a:defRPr sz="1000"/>
            </a:pPr>
            <a:endParaRPr lang="ru-RU"/>
          </a:p>
        </c:txPr>
      </c:legendEntry>
      <c:legendEntry>
        <c:idx val="2"/>
        <c:txPr>
          <a:bodyPr/>
          <a:lstStyle/>
          <a:p>
            <a:pPr>
              <a:defRPr sz="1000"/>
            </a:pPr>
            <a:endParaRPr lang="ru-RU"/>
          </a:p>
        </c:txPr>
      </c:legendEntry>
      <c:layout>
        <c:manualLayout>
          <c:xMode val="edge"/>
          <c:yMode val="edge"/>
          <c:x val="5.0186034438004027E-5"/>
          <c:y val="0.89102657942405084"/>
          <c:w val="0.93153898139619884"/>
          <c:h val="0.10494122797983217"/>
        </c:manualLayout>
      </c:layout>
      <c:overlay val="0"/>
      <c:spPr>
        <a:ln>
          <a:solidFill>
            <a:srgbClr val="FF99CC"/>
          </a:solidFill>
        </a:ln>
      </c:spPr>
      <c:txPr>
        <a:bodyPr/>
        <a:lstStyle/>
        <a:p>
          <a:pPr>
            <a:defRPr sz="1200"/>
          </a:pPr>
          <a:endParaRPr lang="ru-RU"/>
        </a:p>
      </c:txPr>
    </c:legend>
    <c:plotVisOnly val="1"/>
    <c:dispBlanksAs val="gap"/>
    <c:showDLblsOverMax val="0"/>
  </c:chart>
  <c:txPr>
    <a:bodyPr/>
    <a:lstStyle/>
    <a:p>
      <a:pPr>
        <a:defRPr sz="1408" b="1">
          <a:solidFill>
            <a:schemeClr val="bg2">
              <a:lumMod val="50000"/>
            </a:schemeClr>
          </a:solidFill>
          <a:latin typeface="Times New Roman" pitchFamily="18" charset="0"/>
          <a:cs typeface="Times New Roman" pitchFamily="18" charset="0"/>
        </a:defRPr>
      </a:pPr>
      <a:endParaRPr lang="ru-RU"/>
    </a:p>
  </c:txPr>
  <c:externalData r:id="rId2">
    <c:autoUpdate val="0"/>
  </c:externalData>
</c:chartSpace>
</file>

<file path=word/theme/_rels/themeOverrid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Другая 10">
    <a:dk1>
      <a:srgbClr val="FFFFFF"/>
    </a:dk1>
    <a:lt1>
      <a:sysClr val="window" lastClr="FFFFFF"/>
    </a:lt1>
    <a:dk2>
      <a:srgbClr val="00843C"/>
    </a:dk2>
    <a:lt2>
      <a:srgbClr val="FFC000"/>
    </a:lt2>
    <a:accent1>
      <a:srgbClr val="92D050"/>
    </a:accent1>
    <a:accent2>
      <a:srgbClr val="7E9532"/>
    </a:accent2>
    <a:accent3>
      <a:srgbClr val="C9FAED"/>
    </a:accent3>
    <a:accent4>
      <a:srgbClr val="10CF9B"/>
    </a:accent4>
    <a:accent5>
      <a:srgbClr val="FFFFFF"/>
    </a:accent5>
    <a:accent6>
      <a:srgbClr val="A5C249"/>
    </a:accent6>
    <a:hlink>
      <a:srgbClr val="E2D700"/>
    </a:hlink>
    <a:folHlink>
      <a:srgbClr val="85DFD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blipFill rotWithShape="1">
        <a:blip xmlns:r="http://schemas.openxmlformats.org/officeDocument/2006/relationships" r:embed="rId1">
          <a:duotone>
            <a:schemeClr val="phClr">
              <a:tint val="95000"/>
            </a:schemeClr>
            <a:schemeClr val="phClr">
              <a:shade val="20000"/>
            </a:schemeClr>
          </a:duotone>
        </a:blip>
        <a:stretch/>
      </a:blipFill>
      <a:gradFill rotWithShape="1">
        <a:gsLst>
          <a:gs pos="0">
            <a:schemeClr val="phClr">
              <a:tint val="40000"/>
              <a:satMod val="350000"/>
            </a:schemeClr>
          </a:gs>
          <a:gs pos="40000">
            <a:schemeClr val="phClr">
              <a:tint val="45000"/>
              <a:shade val="99000"/>
              <a:satMod val="350000"/>
            </a:schemeClr>
          </a:gs>
          <a:gs pos="100000">
            <a:schemeClr val="phClr">
              <a:shade val="30000"/>
              <a:satMod val="255000"/>
            </a:schemeClr>
          </a:gs>
        </a:gsLst>
        <a:path path="circle">
          <a:fillToRect l="50000" t="-80000" r="50000" b="18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8</TotalTime>
  <Pages>5</Pages>
  <Words>1358</Words>
  <Characters>7743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niyazakunov</dc:creator>
  <cp:lastModifiedBy>Азамат Ишанкулов</cp:lastModifiedBy>
  <cp:revision>7</cp:revision>
  <cp:lastPrinted>2018-10-18T07:52:00Z</cp:lastPrinted>
  <dcterms:created xsi:type="dcterms:W3CDTF">2020-08-14T11:05:00Z</dcterms:created>
  <dcterms:modified xsi:type="dcterms:W3CDTF">2020-08-15T07:32:00Z</dcterms:modified>
</cp:coreProperties>
</file>