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8E" w:rsidRPr="00C025D2" w:rsidRDefault="00DA5B8E" w:rsidP="00C025D2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ky-KG" w:eastAsia="ru-RU"/>
        </w:rPr>
      </w:pPr>
      <w:bookmarkStart w:id="0" w:name="_GoBack"/>
      <w:bookmarkEnd w:id="0"/>
      <w:r w:rsidRPr="00C025D2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ky-KG" w:eastAsia="ru-RU"/>
        </w:rPr>
        <w:t>Тиркеме</w:t>
      </w:r>
    </w:p>
    <w:p w:rsidR="00A259A9" w:rsidRPr="001F7BC3" w:rsidRDefault="00DA5B8E" w:rsidP="00C025D2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ky-KG" w:eastAsia="ru-RU"/>
        </w:rPr>
        <w:t>“</w:t>
      </w:r>
      <w:r w:rsidR="00A259A9" w:rsidRPr="00C025D2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ky-KG" w:eastAsia="ru-RU"/>
        </w:rPr>
        <w:t>1-тиркеме</w:t>
      </w:r>
      <w:r w:rsidR="001F7BC3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ky-KG" w:eastAsia="ru-RU"/>
        </w:rPr>
        <w:t>”</w:t>
      </w:r>
    </w:p>
    <w:p w:rsidR="00A259A9" w:rsidRPr="00C025D2" w:rsidRDefault="00A259A9" w:rsidP="00C025D2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Региондорду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фонддору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="004026B8"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br/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типтүү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жобо</w:t>
      </w:r>
    </w:p>
    <w:p w:rsidR="000E4C52" w:rsidRPr="00C025D2" w:rsidRDefault="000E4C5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1-глава.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Жалпы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жоболор</w:t>
      </w:r>
    </w:p>
    <w:p w:rsidR="00A259A9" w:rsidRPr="00C025D2" w:rsidRDefault="00A259A9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1" w:name="r1"/>
      <w:bookmarkEnd w:id="1"/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D425F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 w:rsidR="004D425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жобо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кодексинин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Салыктык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кирешелер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кодексинин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сатып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жөнүндө”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Мыйзамынын,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“Коммерциялык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уюмдар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жөнүндө”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иштелип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чыккан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егиондорду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фонддорунун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(мындан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тартибин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аныктайт.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Салыктык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кирешелер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кодексинин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606C" w:rsidRPr="00C025D2">
        <w:rPr>
          <w:rFonts w:ascii="Times New Roman" w:hAnsi="Times New Roman" w:cs="Times New Roman"/>
          <w:sz w:val="28"/>
          <w:szCs w:val="28"/>
          <w:lang w:val="ky-KG"/>
        </w:rPr>
        <w:t>кодексинин,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сатып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жөнүндө”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606C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ашырылат.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Районду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түрүндө</w:t>
      </w:r>
      <w:r w:rsidR="00EC7A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юридикалык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жактын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статусуна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ээ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мекеменин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уюштуруу-укуктук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формасында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түзүлөт.</w:t>
      </w:r>
    </w:p>
    <w:p w:rsidR="001B3CB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Облусту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ую</w:t>
      </w:r>
      <w:r w:rsidR="00F056F4" w:rsidRPr="00C025D2">
        <w:rPr>
          <w:rFonts w:ascii="Times New Roman" w:hAnsi="Times New Roman" w:cs="Times New Roman"/>
          <w:sz w:val="28"/>
          <w:szCs w:val="28"/>
          <w:lang w:val="ky-KG"/>
        </w:rPr>
        <w:t>мдаш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056F4" w:rsidRPr="00C025D2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руучусу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Президентинин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облустагы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өкүлү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3CB9" w:rsidRPr="00C025D2">
        <w:rPr>
          <w:rFonts w:ascii="Times New Roman" w:hAnsi="Times New Roman" w:cs="Times New Roman"/>
          <w:sz w:val="28"/>
          <w:szCs w:val="28"/>
          <w:lang w:val="ky-KG"/>
        </w:rPr>
        <w:t>саналат.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Районду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hAnsi="Times New Roman" w:cs="Times New Roman"/>
          <w:sz w:val="28"/>
          <w:szCs w:val="28"/>
          <w:lang w:val="ky-KG"/>
        </w:rPr>
        <w:t>уюмдаштыруучусу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администрация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саналат.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системасынын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саналат.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Казыналык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системасында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атайын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ачылат.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мыйзамдуулук,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ачыктык,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айкындуулук,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сарамжалдуу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натыйжалуу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принциптеринде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ашырат.</w:t>
      </w:r>
    </w:p>
    <w:p w:rsidR="001C4129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bookmarkStart w:id="2" w:name="r2"/>
      <w:bookmarkEnd w:id="2"/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2-глава.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Ушул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="00A2158E" w:rsidRPr="00A2158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Типтүү</w:t>
      </w:r>
      <w:r w:rsidR="00A215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ободо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колдонулуучу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түшүнүктөр</w:t>
      </w:r>
      <w:bookmarkStart w:id="3" w:name="r3"/>
      <w:bookmarkEnd w:id="3"/>
    </w:p>
    <w:p w:rsidR="001B3CB9" w:rsidRPr="00C025D2" w:rsidRDefault="001B3CB9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056F4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жобо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колдонулган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түшүнүктөр:</w:t>
      </w:r>
    </w:p>
    <w:p w:rsidR="001C4129" w:rsidRPr="00C025D2" w:rsidRDefault="00F056F4" w:rsidP="00260F67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берүүчү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эсебинен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конкурска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катышууга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ишкердик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бъе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C4129" w:rsidRPr="00C025D2" w:rsidRDefault="00F056F4" w:rsidP="008439E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260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</w:t>
      </w:r>
      <w:r w:rsidR="00260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жактыр</w:t>
      </w:r>
      <w:r w:rsidR="00260F6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келишим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түзгөн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039A" w:rsidRPr="00C025D2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ишкердик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бъе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C4129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инфратүзүмдүк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көрсөтүүлөр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социалдык,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экономикалык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өндүрүштүк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багыттагы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жумуштар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жана/же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көрсөтүүлөр,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ичинде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инфратүзүмдүк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объектти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көрсөтүлүүчү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жана/же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инфратүзүмдүк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объектти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тейлөө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жумуштар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жана/же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көрсөтүүлөр;</w:t>
      </w:r>
    </w:p>
    <w:p w:rsidR="001C4129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инфратүзүмдүк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объект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муниципалдык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менчикте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турган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социалдык,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экономикалык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өндүрүштүк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багыттагы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мүлк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мүлктүк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комплекс;</w:t>
      </w:r>
    </w:p>
    <w:p w:rsidR="005E0182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долбоор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коомчулуктун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өкүлдөрүнүн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катышуусу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өз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алдынча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органдары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демилгеленген,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социалдык-экономикалык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максатка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ылайыктуулугун,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капиталдык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чыгымдардын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көлөмүн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ашыруу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мөөнөтүн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негиздөө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менен,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бъе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ктти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түзүүгө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же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жакшыртууга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багытталган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милдеттердин,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аракеттердин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тизмеги;</w:t>
      </w:r>
    </w:p>
    <w:p w:rsidR="001C4129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коомчулукту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мобилизациялоо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коомчулуктун,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уюшулган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топторунун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түздөн-түз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катышуусу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колдоосу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деңгээлде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көйгөйлөрдү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процесси;</w:t>
      </w:r>
    </w:p>
    <w:p w:rsidR="001C4129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форматтын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иштелип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чыккан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эсебинен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каржылануучу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конкурска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органынын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бъе</w:t>
      </w:r>
      <w:r w:rsidR="0038039A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кттин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сунушталган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баяндамасы;</w:t>
      </w:r>
    </w:p>
    <w:p w:rsidR="001C4129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планы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B5A4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транш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тар </w:t>
      </w:r>
      <w:r w:rsidR="00DB5A4E" w:rsidRP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боюнча </w:t>
      </w:r>
      <w:r w:rsidR="00DB5A4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каржылоонун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B5A4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этаптарын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B5A4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B5A4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тартибин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B5A4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баяндаган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тиешел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планы</w:t>
      </w:r>
      <w:r w:rsidR="00DB5A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 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бөлүгү;</w:t>
      </w:r>
    </w:p>
    <w:p w:rsidR="001C4129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планы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ашырууда,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натыйжалуулугун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баалоодо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жобо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талаптарынан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четтөөлөрдү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табуу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максатында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этаптары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тартиби;</w:t>
      </w:r>
    </w:p>
    <w:p w:rsidR="001C4129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социалдык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билим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маданият,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саламаттык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сактоо,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спорт,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социалдык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коргоо,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жаштар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иштөө,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чыгармачылык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чөйрөсүндөгү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маанидеги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маселелерди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чечүүнүн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алкагында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инфратүзүмдүк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калкка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D979D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убакыт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чектелген,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максатка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багытталган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иш;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1C4129" w:rsidRPr="00C025D2" w:rsidRDefault="00F056F4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11)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экономикалык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ишкердик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субъекттер</w:t>
      </w:r>
      <w:r w:rsidR="00D979D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мамлекеттик/муниципалдык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ишканаларды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ичинде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маанидеги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маселелерди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чечүүгө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коммерциялык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секторду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аркылуу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жагымдуу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шарттарды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убакыт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чектелген,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максатка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багытталган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</w:t>
      </w:r>
      <w:bookmarkStart w:id="4" w:name="r4"/>
      <w:bookmarkEnd w:id="4"/>
      <w:r w:rsidR="005E01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5E0182" w:rsidRPr="00C025D2" w:rsidRDefault="00F056F4" w:rsidP="00C025D2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12)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стартап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долбоор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–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көйгөйлөрдү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чечүүгө,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пайда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алууга,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олуттуу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жакшыртууга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багытталган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экономикалык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же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социалдык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жаңылыктарга,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актуалдуулукка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практикалык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маанилүүлүккө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ээ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болгон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инновациялык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бизнес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долбоор;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5E0182" w:rsidRPr="00C025D2" w:rsidRDefault="00F056F4" w:rsidP="00C025D2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13)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үлүштүк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катыш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–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облустардын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же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райондордун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аймагында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катталган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өзүнүн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иш</w:t>
      </w:r>
      <w:r w:rsidR="00CD5D75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ин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жүргүзгөн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чарбакер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субъекттердин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капиталына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катышуусу,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мынд</w:t>
      </w:r>
      <w:r w:rsidR="00CD5D75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CD5D75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бул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долбоорлор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финансылык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макулдашууда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инвестициялык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долбоорлорду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каржылоо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үчүн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Фондго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берилүүчү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акча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каражаттарынын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максаттуу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колдонулушу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контрагенттердин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милдеттенмелери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карала</w:t>
      </w:r>
      <w:r w:rsidR="00CD5D75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т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:rsidR="005E0182" w:rsidRPr="00C025D2" w:rsidRDefault="00F056F4" w:rsidP="00C025D2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14)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ишкердик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субъект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0F6813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–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Кыргыз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Республикасынын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мыйзамдарында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белгиленген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тартипте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катталган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киреше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алуу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максатында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тобокелдикке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салып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өзүнүн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мүлктүк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жоопкерчилигинде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мыйзам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менен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тыюу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салынбаган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иштерди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уюштуруу-укуктук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формасына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менчигинин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түрүнө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карабастан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жүргүзгөн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жеке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юридикалык</w:t>
      </w:r>
      <w:r w:rsidR="00C025D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CD5D75" w:rsidRPr="00C025D2">
        <w:rPr>
          <w:rFonts w:ascii="Times New Roman" w:hAnsi="Times New Roman" w:cs="Times New Roman"/>
          <w:b w:val="0"/>
          <w:sz w:val="28"/>
          <w:szCs w:val="28"/>
          <w:lang w:val="ky-KG"/>
        </w:rPr>
        <w:t>жактар.</w:t>
      </w:r>
    </w:p>
    <w:p w:rsidR="005E0182" w:rsidRPr="00C025D2" w:rsidRDefault="005E01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3-глава.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максаты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милдети</w:t>
      </w:r>
    </w:p>
    <w:p w:rsidR="005E0182" w:rsidRPr="00C025D2" w:rsidRDefault="005E018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максаты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облустарды,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райондорду,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шаарларды</w:t>
      </w:r>
      <w:r w:rsidR="004E102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айыл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аймактарды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социалдык-экономикалык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программаларын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ашыруу,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коомчулуктун,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өз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алдынча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органдарынын,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органдардын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жарандардын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жашоо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деңгээлин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жогорулатууга,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аймактардын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жакшыртуу,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көрсөтүүлөрдүн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сапатын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жогорулатуу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региондордо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жумушчу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орундарын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түзүү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аркылуу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региондук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шарттарды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түзүүгө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багытталган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26B8" w:rsidRPr="00C025D2">
        <w:rPr>
          <w:rFonts w:ascii="Times New Roman" w:hAnsi="Times New Roman" w:cs="Times New Roman"/>
          <w:sz w:val="28"/>
          <w:szCs w:val="28"/>
          <w:lang w:val="ky-KG"/>
        </w:rPr>
        <w:t>демил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гелерин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колдоо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0182" w:rsidRPr="00C025D2">
        <w:rPr>
          <w:rFonts w:ascii="Times New Roman" w:hAnsi="Times New Roman" w:cs="Times New Roman"/>
          <w:sz w:val="28"/>
          <w:szCs w:val="28"/>
          <w:lang w:val="ky-KG"/>
        </w:rPr>
        <w:t>саналат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11.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милдети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облустарды,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райондорду,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шаарларды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аймактарын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социалдык-экономикалык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программаларынын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артыкчылыктарына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натыйжалуу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саналат.</w:t>
      </w:r>
    </w:p>
    <w:p w:rsidR="009B1E61" w:rsidRPr="00C025D2" w:rsidRDefault="001C4129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12.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каражаттары:</w:t>
      </w:r>
    </w:p>
    <w:p w:rsidR="003A2101" w:rsidRPr="00C025D2" w:rsidRDefault="003A2101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102B" w:rsidRPr="00C025D2">
        <w:rPr>
          <w:rFonts w:ascii="Times New Roman" w:hAnsi="Times New Roman" w:cs="Times New Roman"/>
          <w:sz w:val="28"/>
          <w:szCs w:val="28"/>
          <w:lang w:val="ky-KG"/>
        </w:rPr>
        <w:t>Бюджеттик</w:t>
      </w:r>
      <w:r w:rsidR="004E10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B1E61" w:rsidRPr="00C025D2" w:rsidRDefault="009B1E61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бюджеттик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F056F4" w:rsidRPr="00C025D2">
        <w:rPr>
          <w:rFonts w:ascii="Times New Roman" w:hAnsi="Times New Roman" w:cs="Times New Roman"/>
          <w:sz w:val="28"/>
          <w:szCs w:val="28"/>
          <w:lang w:val="ky-KG"/>
        </w:rPr>
        <w:t>бъе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кттерди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колдоого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жакшыртууга,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көрсөтүүлөрдүн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сапатын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жогорулатууга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субъекттер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дин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иштерди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жүргүзүүсү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жагымдуу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шарттарды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түзүүгө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багытталган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социалдык,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каржылоого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102B">
        <w:rPr>
          <w:rFonts w:ascii="Times New Roman" w:hAnsi="Times New Roman" w:cs="Times New Roman"/>
          <w:sz w:val="28"/>
          <w:szCs w:val="28"/>
          <w:lang w:val="ky-KG"/>
        </w:rPr>
        <w:t>багытталат.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102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ичинде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төмөнкүлөргө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колдонулат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9B1E61" w:rsidRPr="00C025D2" w:rsidRDefault="000F6813" w:rsidP="00C025D2">
      <w:pPr>
        <w:pStyle w:val="tkTekst"/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lastRenderedPageBreak/>
        <w:t>–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5264E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3526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264E" w:rsidRPr="00C025D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3526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264E" w:rsidRPr="00C025D2">
        <w:rPr>
          <w:rFonts w:ascii="Times New Roman" w:hAnsi="Times New Roman" w:cs="Times New Roman"/>
          <w:sz w:val="28"/>
          <w:szCs w:val="28"/>
          <w:lang w:val="ky-KG"/>
        </w:rPr>
        <w:t>%дан</w:t>
      </w:r>
      <w:r w:rsidR="003526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264E" w:rsidRPr="00C025D2">
        <w:rPr>
          <w:rFonts w:ascii="Times New Roman" w:hAnsi="Times New Roman" w:cs="Times New Roman"/>
          <w:sz w:val="28"/>
          <w:szCs w:val="28"/>
          <w:lang w:val="ky-KG"/>
        </w:rPr>
        <w:t>кем</w:t>
      </w:r>
      <w:r w:rsidR="003526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264E"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 w:rsidR="003526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264E" w:rsidRPr="00C025D2">
        <w:rPr>
          <w:rFonts w:ascii="Times New Roman" w:hAnsi="Times New Roman" w:cs="Times New Roman"/>
          <w:sz w:val="28"/>
          <w:szCs w:val="28"/>
          <w:lang w:val="ky-KG"/>
        </w:rPr>
        <w:t>каражаты</w:t>
      </w:r>
      <w:r w:rsidR="0035264E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35264E" w:rsidRP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облуст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райондун,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шаардын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айыл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айма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аймактарында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өзгөчө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кырдаалдарды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алдын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алуу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кесепеттерин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жоюу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иш-чараларга,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ичинде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жарандардын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ден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соолугун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коргоо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2101"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байланышкан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иш-чараларга;</w:t>
      </w:r>
    </w:p>
    <w:p w:rsidR="009B1E61" w:rsidRPr="00C025D2" w:rsidRDefault="009B1E61" w:rsidP="00C025D2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мөөнөттүүлүк,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төлөө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кайтарымдуулук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264E">
        <w:rPr>
          <w:rFonts w:ascii="Times New Roman" w:hAnsi="Times New Roman" w:cs="Times New Roman"/>
          <w:sz w:val="28"/>
          <w:szCs w:val="28"/>
          <w:lang w:val="ky-KG"/>
        </w:rPr>
        <w:t>субъекттерг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кийин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мекемелерге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берүүгө;</w:t>
      </w:r>
    </w:p>
    <w:p w:rsidR="009B1E61" w:rsidRPr="00C025D2" w:rsidRDefault="009B1E61" w:rsidP="00C025D2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өнөктөштүк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долбоорлорун,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регионду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социалдык-экономикалык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өнүктүрүүгө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жөндөм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түзгөн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иштеп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чыгууга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ашырууга;</w:t>
      </w:r>
    </w:p>
    <w:p w:rsidR="009B1E61" w:rsidRPr="00C025D2" w:rsidRDefault="009B1E61" w:rsidP="00C025D2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калктуу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конуштардын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жакшыртуу,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жашылдандыруу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жүргүзүүгө;</w:t>
      </w:r>
    </w:p>
    <w:p w:rsidR="009B1E61" w:rsidRPr="00C025D2" w:rsidRDefault="009B1E61" w:rsidP="00C025D2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эпидемиологиялык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кырдаалдын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кесепеттерин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жоюу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жүргүзүүгө;</w:t>
      </w:r>
    </w:p>
    <w:p w:rsidR="007A5740" w:rsidRDefault="009B1E61" w:rsidP="007A5740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органдар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алдынча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демилгеленген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экологиялык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коопсуздукту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айлана-чөйрөнү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коргоо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камсыз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кылууга,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ичинде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энергиянын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натыйжалуулугун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камсыздоочу,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энергия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сууну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үнөмдөөчү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технологияларды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5740">
        <w:rPr>
          <w:rFonts w:ascii="Times New Roman" w:hAnsi="Times New Roman" w:cs="Times New Roman"/>
          <w:sz w:val="28"/>
          <w:szCs w:val="28"/>
          <w:lang w:val="ky-KG"/>
        </w:rPr>
        <w:t>киргизүүгө;</w:t>
      </w:r>
    </w:p>
    <w:p w:rsidR="00C3153C" w:rsidRPr="00C3153C" w:rsidRDefault="007A5740" w:rsidP="00C3153C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A574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 w:rsidR="00C3153C" w:rsidRPr="00C3153C">
        <w:rPr>
          <w:rFonts w:ascii="Times New Roman" w:hAnsi="Times New Roman" w:cs="Times New Roman"/>
          <w:sz w:val="28"/>
          <w:szCs w:val="28"/>
          <w:lang w:val="ky-KG"/>
        </w:rPr>
        <w:t>чечими</w:t>
      </w:r>
      <w:r w:rsidR="00C3153C" w:rsidRPr="007A57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A5740">
        <w:rPr>
          <w:rFonts w:ascii="Times New Roman" w:hAnsi="Times New Roman" w:cs="Times New Roman"/>
          <w:sz w:val="28"/>
          <w:szCs w:val="28"/>
          <w:lang w:val="ky-KG"/>
        </w:rPr>
        <w:t>боюнча финансылык каражаттарды башка максаттарга пайдалануу.</w:t>
      </w:r>
    </w:p>
    <w:p w:rsidR="009B1E61" w:rsidRPr="00C025D2" w:rsidRDefault="009B1E61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органдардын,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алдынча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органдарынын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материалдык-техникалык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базаларын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колдоо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Фонддордун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бюджеттик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эсе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птер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жол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берилбейт.</w:t>
      </w:r>
    </w:p>
    <w:p w:rsidR="009B1E61" w:rsidRPr="00C025D2" w:rsidRDefault="009B1E61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тайын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эсепт</w:t>
      </w:r>
      <w:r w:rsidR="00DE1DF9" w:rsidRPr="00C025D2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</w:t>
      </w:r>
      <w:r w:rsidR="000F6813" w:rsidRPr="00C025D2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DE1DF9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E1DF9" w:rsidRPr="00C025D2" w:rsidRDefault="00F013BD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</w:t>
      </w:r>
      <w:r w:rsidR="00DE1DF9" w:rsidRPr="00C025D2">
        <w:rPr>
          <w:rFonts w:ascii="Times New Roman" w:hAnsi="Times New Roman" w:cs="Times New Roman"/>
          <w:sz w:val="28"/>
          <w:szCs w:val="28"/>
          <w:lang w:val="ky-KG"/>
        </w:rPr>
        <w:t>тайын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1DF9" w:rsidRPr="00C025D2">
        <w:rPr>
          <w:rFonts w:ascii="Times New Roman" w:hAnsi="Times New Roman" w:cs="Times New Roman"/>
          <w:sz w:val="28"/>
          <w:szCs w:val="28"/>
          <w:lang w:val="ky-KG"/>
        </w:rPr>
        <w:t>эсептин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1DF9"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объекттерди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колдоого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жакшыртууга,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көрсөтүүлөрдүн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сапатын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жогорулатууга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субъекттердин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иштерди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жүргүзүүсү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жагымдуу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шарттарды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түзүүгө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багытталган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социалдык,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каржылоого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багытталат. А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ичинде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төмөнкүлөргө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колдонулат:</w:t>
      </w:r>
    </w:p>
    <w:p w:rsidR="00C27893" w:rsidRPr="00C025D2" w:rsidRDefault="00C27893" w:rsidP="00C27893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маданий,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музыкалык,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спорттук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мелдештерге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(конкурстарга)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катышуучу/катышкан/катышууга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даярданып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жаткан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жөндөмдүү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таланттуу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балдарды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колдоого;</w:t>
      </w:r>
    </w:p>
    <w:p w:rsidR="00C27893" w:rsidRDefault="00C27893" w:rsidP="00C2789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билим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саламаттык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сактоо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социалдык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коргоо,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маданият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спорт,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коргоо,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жалпыга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маалымдоо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жарандык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коргоо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мекемелеринин,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Президенттин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облустардагы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өкүлдөрүнүн,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администрациялардын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алдынча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органдарынын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материалдык-техникалык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базасын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чыңдоого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ишине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колдоо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көрсөтүүгө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7A0A5F" w:rsidRPr="00C025D2" w:rsidRDefault="007A0A5F" w:rsidP="007A0A5F">
      <w:pPr>
        <w:pStyle w:val="tkTekst"/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lastRenderedPageBreak/>
        <w:t>–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ab/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%дан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каражаты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 xml:space="preserve"> облустун,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райондун,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аймагынын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аймактарында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өзгөчө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кырдаалдардын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кесепеттерин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жоюу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иш-чараларга,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ичинде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жарандардын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соолугун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коргоо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байланышкан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иш-чараларга;</w:t>
      </w:r>
    </w:p>
    <w:p w:rsidR="007A0A5F" w:rsidRPr="00C025D2" w:rsidRDefault="007A0A5F" w:rsidP="007A0A5F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мөөнөттүүлүк,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төлөө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кайтарымдуулук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субъекттерг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кийин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мекемелерге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берүүгө;</w:t>
      </w:r>
    </w:p>
    <w:p w:rsidR="007A0A5F" w:rsidRPr="00C025D2" w:rsidRDefault="007A0A5F" w:rsidP="007A0A5F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мамлекеттик-жеке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өнөктөштүк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долбоорлорун,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регионду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социалдык-экономикалык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өнүктүрүүгө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жөндөм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түзгөн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иштеп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чыгууга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ашырууга;</w:t>
      </w:r>
    </w:p>
    <w:p w:rsidR="007A0A5F" w:rsidRPr="00C025D2" w:rsidRDefault="007A0A5F" w:rsidP="007A0A5F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калктуу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конуштардын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жакшыртуу,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жашылдандыруу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жүргүзүүгө;</w:t>
      </w:r>
    </w:p>
    <w:p w:rsidR="007A0A5F" w:rsidRPr="00C025D2" w:rsidRDefault="007A0A5F" w:rsidP="007A0A5F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эпидемиологиялык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кырдаалдын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кесепеттерин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жоюу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жүргүзүүгө;</w:t>
      </w:r>
    </w:p>
    <w:p w:rsidR="007A0A5F" w:rsidRDefault="007A0A5F" w:rsidP="007A0A5F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алдынча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демилгеленген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экологиялык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коопсуздукту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айлана-чөйрөнү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коргоо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иш-чараларды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камсыз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кылууга,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ичинде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энергиянын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натыйжалуулугун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камсыздоочу,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энергия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сууну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үнөмдөөчү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технологияларды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киргизүүгө;</w:t>
      </w:r>
    </w:p>
    <w:p w:rsidR="007A0A5F" w:rsidRPr="007A0A5F" w:rsidRDefault="007A0A5F" w:rsidP="007A0A5F">
      <w:pPr>
        <w:pStyle w:val="tkTekst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A574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 w:rsidRPr="00C3153C">
        <w:rPr>
          <w:rFonts w:ascii="Times New Roman" w:hAnsi="Times New Roman" w:cs="Times New Roman"/>
          <w:sz w:val="28"/>
          <w:szCs w:val="28"/>
          <w:lang w:val="ky-KG"/>
        </w:rPr>
        <w:t>чечими</w:t>
      </w:r>
      <w:r w:rsidRPr="007A5740">
        <w:rPr>
          <w:rFonts w:ascii="Times New Roman" w:hAnsi="Times New Roman" w:cs="Times New Roman"/>
          <w:sz w:val="28"/>
          <w:szCs w:val="28"/>
          <w:lang w:val="ky-KG"/>
        </w:rPr>
        <w:t xml:space="preserve"> боюнча финансылык каражаттарды башка максаттарга пайдалануу.</w:t>
      </w:r>
    </w:p>
    <w:p w:rsidR="00B02AC7" w:rsidRPr="00C025D2" w:rsidRDefault="00DF06BC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13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каражаттарын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эсебинен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каржылануучу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чарбакер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субъекттердин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капиталына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үлүштүк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катышуунун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каржылоо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багытта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лышы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мүмкүн.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Долбоордогу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тараптардын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үлүшү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тараптардын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макулдашуусу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AC7" w:rsidRPr="00C025D2">
        <w:rPr>
          <w:rFonts w:ascii="Times New Roman" w:hAnsi="Times New Roman" w:cs="Times New Roman"/>
          <w:sz w:val="28"/>
          <w:szCs w:val="28"/>
          <w:lang w:val="ky-KG"/>
        </w:rPr>
        <w:t>аныкталат.</w:t>
      </w:r>
    </w:p>
    <w:p w:rsidR="009B1E61" w:rsidRPr="009B52EC" w:rsidRDefault="00DF06BC" w:rsidP="00C27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872C80">
        <w:rPr>
          <w:rFonts w:ascii="Times New Roman" w:hAnsi="Times New Roman" w:cs="Times New Roman"/>
          <w:sz w:val="28"/>
          <w:szCs w:val="28"/>
          <w:lang w:val="ky-KG"/>
        </w:rPr>
        <w:t>14</w:t>
      </w:r>
      <w:r w:rsidR="001C4129" w:rsidRPr="00872C8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 w:rsidRPr="00872C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872C80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 w:rsidRPr="00872C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872C80">
        <w:rPr>
          <w:rFonts w:ascii="Times New Roman" w:hAnsi="Times New Roman" w:cs="Times New Roman"/>
          <w:sz w:val="28"/>
          <w:szCs w:val="28"/>
          <w:lang w:val="ky-KG"/>
        </w:rPr>
        <w:t>каражаттары</w:t>
      </w:r>
      <w:r w:rsidR="00C025D2" w:rsidRPr="00872C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872C80">
        <w:rPr>
          <w:rFonts w:ascii="Times New Roman" w:hAnsi="Times New Roman" w:cs="Times New Roman"/>
          <w:sz w:val="28"/>
          <w:szCs w:val="28"/>
          <w:lang w:val="ky-KG"/>
        </w:rPr>
        <w:t>төмөнкүдөй</w:t>
      </w:r>
      <w:r w:rsidR="00C025D2" w:rsidRPr="00872C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872C80">
        <w:rPr>
          <w:rFonts w:ascii="Times New Roman" w:hAnsi="Times New Roman" w:cs="Times New Roman"/>
          <w:sz w:val="28"/>
          <w:szCs w:val="28"/>
          <w:lang w:val="ky-KG"/>
        </w:rPr>
        <w:t>тартипте</w:t>
      </w:r>
      <w:r w:rsidR="00C025D2" w:rsidRPr="00872C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E61" w:rsidRPr="00872C80">
        <w:rPr>
          <w:rFonts w:ascii="Times New Roman" w:hAnsi="Times New Roman" w:cs="Times New Roman"/>
          <w:sz w:val="28"/>
          <w:szCs w:val="28"/>
          <w:lang w:val="ky-KG"/>
        </w:rPr>
        <w:t>бөлүштүрүлөт:</w:t>
      </w:r>
    </w:p>
    <w:p w:rsidR="009B52EC" w:rsidRPr="009B52EC" w:rsidRDefault="009B52EC" w:rsidP="00C27893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52EC">
        <w:rPr>
          <w:rFonts w:ascii="Times New Roman" w:hAnsi="Times New Roman" w:cs="Times New Roman"/>
          <w:sz w:val="28"/>
          <w:szCs w:val="28"/>
          <w:lang w:val="ky-KG"/>
        </w:rPr>
        <w:t>а) жылдык болжолдуу бюджети элүү миллион сомго чейинки каражатты түзгөн Фонддор үчүн:</w:t>
      </w:r>
    </w:p>
    <w:p w:rsidR="00E32F7A" w:rsidRPr="00C025D2" w:rsidRDefault="00E32F7A" w:rsidP="00C27893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0A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социалдык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бөлүнөт;</w:t>
      </w:r>
    </w:p>
    <w:p w:rsidR="007A0A5F" w:rsidRPr="00C025D2" w:rsidRDefault="007A0A5F" w:rsidP="00C27893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3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бөлүнөт;</w:t>
      </w:r>
    </w:p>
    <w:p w:rsidR="00E32F7A" w:rsidRPr="00C025D2" w:rsidRDefault="00E32F7A" w:rsidP="00C27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50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регионду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социалдык-экономикалык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өнүктүрүүгө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жөндөм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түзгөн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долбоорлорго,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төлөө,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мөөнөттүүлүк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кайтарымдуулук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негизинде;</w:t>
      </w:r>
    </w:p>
    <w:p w:rsidR="00E32F7A" w:rsidRPr="00C025D2" w:rsidRDefault="00E32F7A" w:rsidP="00E32F7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б)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болжолдуу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бюджети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элүү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миллион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сомдон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түзгөн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үчүн:</w:t>
      </w:r>
    </w:p>
    <w:p w:rsidR="00872C80" w:rsidRPr="00872C80" w:rsidRDefault="00872C80" w:rsidP="00872C8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72C80">
        <w:rPr>
          <w:rFonts w:ascii="Times New Roman" w:hAnsi="Times New Roman" w:cs="Times New Roman"/>
          <w:sz w:val="28"/>
          <w:szCs w:val="28"/>
          <w:lang w:val="ky-KG"/>
        </w:rPr>
        <w:t>– 20 % социалдык жана инфратүзүмдүк долбоорлорго бөлүнөт;</w:t>
      </w:r>
    </w:p>
    <w:p w:rsidR="00122B77" w:rsidRPr="00872C80" w:rsidRDefault="00122B77" w:rsidP="00122B7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72C80">
        <w:rPr>
          <w:rFonts w:ascii="Times New Roman" w:hAnsi="Times New Roman" w:cs="Times New Roman"/>
          <w:sz w:val="28"/>
          <w:szCs w:val="28"/>
          <w:lang w:val="ky-KG"/>
        </w:rPr>
        <w:t>– 80 % аймакты социалдык-экономикалык өнүктүрүүгө жөндөм түзгөн экономикалык долбоорлорго, төлөө, мөөнөттүүлүк жана кайтарымдуулук негизинде</w:t>
      </w:r>
      <w:r w:rsidR="00872C80" w:rsidRPr="00872C8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майрамдык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иш-чараларды,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74A0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мааракелерди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максаттары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74A0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милдеттерине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келбеген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иш-чараларды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берилбейт.</w:t>
      </w:r>
    </w:p>
    <w:p w:rsidR="00B74A06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4-глава.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органдары</w:t>
      </w:r>
    </w:p>
    <w:p w:rsidR="00BB433E" w:rsidRPr="00C025D2" w:rsidRDefault="00BB433E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E562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төмөнкүлөр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саналат: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жогорку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74A0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кеңеши;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F6813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дирекциясы.</w:t>
      </w:r>
    </w:p>
    <w:p w:rsidR="001C4129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1</w:t>
      </w:r>
      <w:r w:rsidR="006B32B8"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-§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укуктары</w:t>
      </w:r>
    </w:p>
    <w:p w:rsidR="001C4129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16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укуктары: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артыкчылыктарын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атайын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кийинки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жылдарга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болжолдуу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көрсөткүчтөрдүн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эсебинен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финансы-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уюмдарга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(мындан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ФКУ)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B433E"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B433E" w:rsidRPr="00C025D2">
        <w:rPr>
          <w:rFonts w:ascii="Times New Roman" w:hAnsi="Times New Roman" w:cs="Times New Roman"/>
          <w:sz w:val="28"/>
          <w:szCs w:val="28"/>
          <w:lang w:val="ky-KG"/>
        </w:rPr>
        <w:t>субъекттер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тууралуу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ФКУнун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угуу;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натыйжалуулугуна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топтун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курамын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аудит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тууралуу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конкурстук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катышуучуларынын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даттанууларын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439E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арыздарын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турган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атайын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сметасын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жобо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алкагында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чыгашалар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сметасын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бекитүү;</w:t>
      </w:r>
    </w:p>
    <w:p w:rsidR="00ED3BDE" w:rsidRPr="00C025D2" w:rsidRDefault="00B74A06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11)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“Мамлекеттик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сатып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алуулар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жөнүндө”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Мыйзамына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Дирекция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долбоор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ашыруу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чечимди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кабыл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алуу;</w:t>
      </w:r>
    </w:p>
    <w:p w:rsidR="00ED3BDE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12)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кызматкерлерине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карата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коюлуучу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квалификациялык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талаптарды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бекитүү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алардын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аткаруучу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директору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ордуна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30B50">
        <w:rPr>
          <w:rFonts w:ascii="Times New Roman" w:hAnsi="Times New Roman" w:cs="Times New Roman"/>
          <w:sz w:val="28"/>
          <w:szCs w:val="28"/>
          <w:lang w:val="ky-KG"/>
        </w:rPr>
        <w:t>талапкерлерди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3BDE" w:rsidRPr="00C025D2">
        <w:rPr>
          <w:rFonts w:ascii="Times New Roman" w:hAnsi="Times New Roman" w:cs="Times New Roman"/>
          <w:sz w:val="28"/>
          <w:szCs w:val="28"/>
          <w:lang w:val="ky-KG"/>
        </w:rPr>
        <w:t>тандоо;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13)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максаттуу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пайдаланылышын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контролдоо;</w:t>
      </w:r>
    </w:p>
    <w:p w:rsidR="001C4129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14)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атайын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</w:t>
      </w:r>
      <w:r w:rsidR="007317A3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317A3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чыгашалар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сметасынын,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317A3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чыгашалар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сметасынын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аткарылышы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угуу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бекитүү;</w:t>
      </w:r>
    </w:p>
    <w:p w:rsidR="00ED3BDE" w:rsidRPr="00C025D2" w:rsidRDefault="00B74A0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15)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курамын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</w:t>
      </w:r>
      <w:r w:rsidR="007317A3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17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өзүнө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жүктөлгөн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төмөнкүлөргө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укуктуу:</w:t>
      </w:r>
    </w:p>
    <w:p w:rsidR="001C4129" w:rsidRPr="00C025D2" w:rsidRDefault="007317A3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жүргүзүүчү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тобунан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зарыл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болгон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суроого;</w:t>
      </w:r>
    </w:p>
    <w:p w:rsidR="001C4129" w:rsidRPr="00C025D2" w:rsidRDefault="007317A3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жүргүзүүчү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документтерди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жеткире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чыгууга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жөнөтүүгө;</w:t>
      </w:r>
    </w:p>
    <w:p w:rsidR="001C4129" w:rsidRPr="00C025D2" w:rsidRDefault="007317A3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компетенциясына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эксперттер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адистер,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техникалык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консультацияларды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уюштурууга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өткөрүүгө;</w:t>
      </w:r>
    </w:p>
    <w:p w:rsidR="00EF3245" w:rsidRPr="00C025D2" w:rsidRDefault="007317A3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карата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функцияларын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аткарбаган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талаптагыдай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чара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тууралуу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мдашты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руучусуна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сунуштама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жөнөтүүгө</w:t>
      </w:r>
      <w:r w:rsidR="00EF324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C4129" w:rsidRPr="00C025D2" w:rsidRDefault="007317A3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Региондорду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уюмдаштыруучусуна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аткаруучу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директору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ордуна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дайындоо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бошотуу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сунуштама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F3245" w:rsidRPr="00C025D2">
        <w:rPr>
          <w:rFonts w:ascii="Times New Roman" w:hAnsi="Times New Roman" w:cs="Times New Roman"/>
          <w:sz w:val="28"/>
          <w:szCs w:val="28"/>
          <w:lang w:val="ky-KG"/>
        </w:rPr>
        <w:t>берүүгө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2</w:t>
      </w:r>
      <w:r w:rsidR="006B32B8"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-§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ишин</w:t>
      </w:r>
      <w:r w:rsid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уюштуруу</w:t>
      </w:r>
    </w:p>
    <w:p w:rsidR="003605F9" w:rsidRPr="00C025D2" w:rsidRDefault="003605F9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18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коомдук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башталышта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19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жыйналыштарына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алмаштыруу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укугусуз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катышат.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мүчөсү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болгон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каралып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жаткан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пикирин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жазуу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C02A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9C02A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кеңештин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курамына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киргизилген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органдын/уюмдун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өкүлүнүн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мүчөлүгү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тийиштүү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органдын/уюмдун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расмий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аты-жөнүн,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C02AE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ордун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өкүлдү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алмаштырган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себептерин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тастыкталат.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21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адамдан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болбошу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керек.</w:t>
      </w:r>
    </w:p>
    <w:p w:rsidR="003605F9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22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Облуст</w:t>
      </w:r>
      <w:r w:rsidR="009C02AE" w:rsidRPr="00C025D2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курамына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төмөнкүлөр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кирет:</w:t>
      </w:r>
    </w:p>
    <w:p w:rsidR="003605F9" w:rsidRPr="00C025D2" w:rsidRDefault="009C02AE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Президентинин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облустагы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өкүлү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Президентинин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облустагы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өкүлүнүн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тескемесинин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биринчи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орун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басары;</w:t>
      </w:r>
    </w:p>
    <w:p w:rsidR="003605F9" w:rsidRPr="00C025D2" w:rsidRDefault="009C02AE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финансы,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бюджетти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болжолдоо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өкүлү;</w:t>
      </w:r>
    </w:p>
    <w:p w:rsidR="003605F9" w:rsidRPr="00C025D2" w:rsidRDefault="009C02AE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lastRenderedPageBreak/>
        <w:t>3)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экономика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өкүлү;</w:t>
      </w:r>
    </w:p>
    <w:p w:rsidR="003605F9" w:rsidRPr="00C025D2" w:rsidRDefault="009C02AE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экология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айлана-чөйрөнү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коргоо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аймактык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жетекчиси;</w:t>
      </w:r>
    </w:p>
    <w:p w:rsidR="009C02AE" w:rsidRPr="00C025D2" w:rsidRDefault="009C02AE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архитектура-курулуш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саясатты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иштеп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чыгуу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жүзөгө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аймактык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жетекчиси;</w:t>
      </w:r>
    </w:p>
    <w:p w:rsidR="003605F9" w:rsidRPr="00C025D2" w:rsidRDefault="009C02AE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6)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Президентинин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облустагы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өкүлүнүн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сунушу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A68A7" w:rsidRPr="00C025D2">
        <w:rPr>
          <w:rFonts w:ascii="Times New Roman" w:hAnsi="Times New Roman" w:cs="Times New Roman"/>
          <w:sz w:val="28"/>
          <w:szCs w:val="28"/>
          <w:lang w:val="ky-KG"/>
        </w:rPr>
        <w:t>жалпы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мүчөлөрүнүн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 w:rsidR="002A68A7" w:rsidRPr="00C025D2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A68A7"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A68A7" w:rsidRPr="00C025D2">
        <w:rPr>
          <w:rFonts w:ascii="Times New Roman" w:hAnsi="Times New Roman" w:cs="Times New Roman"/>
          <w:sz w:val="28"/>
          <w:szCs w:val="28"/>
          <w:lang w:val="ky-KG"/>
        </w:rPr>
        <w:t>санында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коммерциялык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коммерциялык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уюмдардын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өкүлдөрү;</w:t>
      </w:r>
    </w:p>
    <w:p w:rsidR="002A68A7" w:rsidRPr="00C025D2" w:rsidRDefault="002A68A7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C02AE" w:rsidRPr="00C025D2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тиешелүү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облустун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районун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курамындагы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кеңештин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өкүлдөрү,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ошондой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эле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жалпы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мүчөлөрүнүн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санында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облустук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маанидеги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шаарлардын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кеңештеринин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өкүлдөрү,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алар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шайланат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аныктаган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тартипте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ротацияланат.</w:t>
      </w:r>
    </w:p>
    <w:p w:rsidR="003605F9" w:rsidRPr="00C025D2" w:rsidRDefault="003605F9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Районду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курамына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төмөнкүлөр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кирет:</w:t>
      </w:r>
    </w:p>
    <w:p w:rsidR="003605F9" w:rsidRPr="00C025D2" w:rsidRDefault="002A68A7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администрация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башчысы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администрация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башчысынын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чечиминин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биринчи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орун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басары;</w:t>
      </w:r>
    </w:p>
    <w:p w:rsidR="003605F9" w:rsidRPr="00C025D2" w:rsidRDefault="002A68A7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финансы,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бюджетти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болжолдоо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аймактык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жетекчиси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605F9" w:rsidRPr="00C025D2" w:rsidRDefault="002A68A7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3)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экономика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аймактык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өкүлү;</w:t>
      </w:r>
    </w:p>
    <w:p w:rsidR="003605F9" w:rsidRPr="00C025D2" w:rsidRDefault="002A68A7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агроөнөржай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комплекси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аймактык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05F9" w:rsidRPr="00C025D2">
        <w:rPr>
          <w:rFonts w:ascii="Times New Roman" w:hAnsi="Times New Roman" w:cs="Times New Roman"/>
          <w:sz w:val="28"/>
          <w:szCs w:val="28"/>
          <w:lang w:val="ky-KG"/>
        </w:rPr>
        <w:t>жетекчиси;</w:t>
      </w:r>
    </w:p>
    <w:p w:rsidR="002A68A7" w:rsidRPr="00C025D2" w:rsidRDefault="002A68A7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архитектура-курулуш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саясатты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иштеп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чыгуу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жүзөгө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аймактык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жетекчиси;</w:t>
      </w:r>
    </w:p>
    <w:p w:rsidR="00B23D6C" w:rsidRPr="00C025D2" w:rsidRDefault="002A68A7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6)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администрациянын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сунушу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курамына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киргизилген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жалпы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мүчөлөрүнүн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%га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санында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коммерциялык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коммерциялык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уюмдардын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3D6C" w:rsidRPr="00C025D2">
        <w:rPr>
          <w:rFonts w:ascii="Times New Roman" w:hAnsi="Times New Roman" w:cs="Times New Roman"/>
          <w:sz w:val="28"/>
          <w:szCs w:val="28"/>
          <w:lang w:val="ky-KG"/>
        </w:rPr>
        <w:t>өкүлдөрү;</w:t>
      </w:r>
    </w:p>
    <w:p w:rsidR="003605F9" w:rsidRPr="00C025D2" w:rsidRDefault="00B23D6C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7)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жалпы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мүчөлөрүнүн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санында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айыл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аймактарынын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райондук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маанидеги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шаарлардын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кеңештеринин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өкүлдөрү,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алар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шайланат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аныктаган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тартипте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ротацияланат.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23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Облусту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төрагасы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Президентинин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облустардагы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өкүлү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же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биринчи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орун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басары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саналат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24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Облусту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төрагасы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администрация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башчысы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же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администрация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башчысынын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чечиминин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орун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басары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саналат.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Районду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төрагасынын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орун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басары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финансы,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бюджетти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болжолдоо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райондук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жетекчиси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эсептелет.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25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курамы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Президентинин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өкүлүнүн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тескемеси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жылдан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кем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10AF"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42A2" w:rsidRPr="00C025D2">
        <w:rPr>
          <w:rFonts w:ascii="Times New Roman" w:hAnsi="Times New Roman" w:cs="Times New Roman"/>
          <w:sz w:val="28"/>
          <w:szCs w:val="28"/>
          <w:lang w:val="ky-KG"/>
        </w:rPr>
        <w:t>мөөнөткө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бекитилет.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26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Районду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курамы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администрация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башчысынын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тескемеси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310AF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мөөнөткө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бекитилет.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27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зарылдыгына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жараша,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бирок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кварталына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жолудан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чакырылат.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28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эгерде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курамынын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жарымынан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катышса,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эсептелет.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29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компетенциясына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кеңештин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катышкан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жөнөкөй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көпчүлү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добушу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алынат.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Добуштар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тең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төрагалык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адамдын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добушу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чечүүчү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30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кызматкери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катчысы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протоколдонот.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Протоколго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төрагасы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жыйналышта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төрагалык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адам,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катышкан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коюлат.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Протоколдун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нускасы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сакталат.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31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Төрага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жыйналышта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болгон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төрагалык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кылуучуну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арасынан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тандап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32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зарыл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болгон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тийиштүү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техникалык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кызматтардын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өкүлдөрүн,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эксперттерди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консультанттарды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чакырууга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добуш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укугусуз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33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чакыруу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тартибин,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өткөрү</w:t>
      </w:r>
      <w:r w:rsidR="00ED4F9F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убактысын,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жыйналышты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күнүнө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календардык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күндөн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кеч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кабарл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анат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34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талаптарына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мекемелер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ченемдерге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операциялык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лимиттин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алкагында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ашырылышына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мезгилинде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транспорттук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жаш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турууга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компенсация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лоого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берилет.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35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видео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конференц</w:t>
      </w:r>
      <w:r w:rsidR="006B42A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байланыш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системасын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колдонуу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өткөрүүгө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берилет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7D449A" w:rsidRPr="00C025D2" w:rsidRDefault="007D449A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C4129" w:rsidRPr="00C025D2" w:rsidRDefault="001C4129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3</w:t>
      </w:r>
      <w:r w:rsidR="00970666"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-§</w:t>
      </w:r>
      <w:r w:rsid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дирекциясы</w:t>
      </w:r>
    </w:p>
    <w:p w:rsidR="000E4C52" w:rsidRPr="00C025D2" w:rsidRDefault="000E4C52" w:rsidP="00C025D2">
      <w:pPr>
        <w:shd w:val="clear" w:color="auto" w:fill="FFFFFF"/>
        <w:spacing w:after="0" w:line="240" w:lineRule="auto"/>
        <w:ind w:left="707" w:right="-1" w:firstLine="709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36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чечимдеринин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талаптагыдай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аткарылышын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камсыздайт.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37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мдашты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руучунун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адамдын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андан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узартуу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мүмкүндүгү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мөөнөткө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ордуна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дайындалуучу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жетектейт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970666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38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Президентинин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өкүлү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0666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0666" w:rsidRPr="00C025D2">
        <w:rPr>
          <w:rFonts w:ascii="Times New Roman" w:hAnsi="Times New Roman" w:cs="Times New Roman"/>
          <w:sz w:val="28"/>
          <w:szCs w:val="28"/>
          <w:lang w:val="ky-KG"/>
        </w:rPr>
        <w:t>кеңештин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0666" w:rsidRPr="00C025D2">
        <w:rPr>
          <w:rFonts w:ascii="Times New Roman" w:hAnsi="Times New Roman" w:cs="Times New Roman"/>
          <w:sz w:val="28"/>
          <w:szCs w:val="28"/>
          <w:lang w:val="ky-KG"/>
        </w:rPr>
        <w:t>сунуштамасы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0666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дайындайт.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39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Районду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администрация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башчысы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кеңештин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сунуштамасы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дайындайт.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40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Облусту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районду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фондунун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дирекциясынын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чыг</w:t>
      </w:r>
      <w:r w:rsidR="00970666" w:rsidRPr="00C025D2">
        <w:rPr>
          <w:rFonts w:ascii="Times New Roman" w:hAnsi="Times New Roman" w:cs="Times New Roman"/>
          <w:sz w:val="28"/>
          <w:szCs w:val="28"/>
          <w:lang w:val="ky-KG"/>
        </w:rPr>
        <w:t>ашалар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сметасын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финансы,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бюджетти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болжолдоо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орган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кеңеши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449A" w:rsidRPr="00C025D2">
        <w:rPr>
          <w:rFonts w:ascii="Times New Roman" w:hAnsi="Times New Roman" w:cs="Times New Roman"/>
          <w:sz w:val="28"/>
          <w:szCs w:val="28"/>
          <w:lang w:val="ky-KG"/>
        </w:rPr>
        <w:t>бекитет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Штаттык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расписание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кызматтык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маяналар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жобонун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1-тиркеме</w:t>
      </w:r>
      <w:r w:rsidR="00970666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син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D2A0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белгиленет.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41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берүүчүнүн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ортосундагы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мамилелер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салынат.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42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функциялары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укуктары: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операциялык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операцияларды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жүргүзөт;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2)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мүчөлөрүнүн,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уюмдаш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руучулардын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суроо-талабы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тууралуу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берет;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Казыналык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системасында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атайын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эсептерин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ачат;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берүүчүдөн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4026B8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тандайт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документтердин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толуктугунун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текшерет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8781E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F4120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ФК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У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н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у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н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финансылык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талаптарына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шайкеш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тигин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текшерүү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үчүн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F4120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ФК</w:t>
      </w:r>
      <w:r w:rsidR="009E5620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У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менен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экономикалык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долбоорлорду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алдын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ала</w:t>
      </w:r>
      <w:r w:rsid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макулдаш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ат</w:t>
      </w:r>
      <w:r w:rsidR="0018781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шарттары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жол-жоболору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бузулган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токтотот;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кеңештин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чечими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Дирекциясы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андан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органдардын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жана/же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өз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алдынча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органдарынын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балансына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өткөрүп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социалдык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товарларды,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кызмат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көрсөтүүлөрдү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жумуштарды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сатып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алат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B55E82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чөйрөдөгү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актыларда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тартипте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акчалай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кыймылы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отчеттуулукту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жүргүзөт</w:t>
      </w:r>
      <w:r w:rsidR="00B55E82" w:rsidRPr="00C025D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функцияларын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адистерди,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консультанттарды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жалдайт;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сатып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чөйрөсүндөгү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талаптарын,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курулуш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ченемдерин,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эрежелерин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D5D7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жобо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подрядчылар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сакт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аракеттерди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координациялайт;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11)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операциялык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бөлүнгөн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алкагында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чыгашалар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сметасын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кароосуна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бекитүүсүнө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берет;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12)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уюштуруу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жүргүзөт;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13)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аудит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даярдайт;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1C4129" w:rsidRPr="00C025D2" w:rsidRDefault="00970666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14)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жактырган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ашырылышына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жүргүзүүнү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5E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кылат.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43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функциялары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укуктары: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жетек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тейт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конкурстун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жеңүүчүлөрү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тараптуу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келишимдерге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коёт;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конкурстук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тандоонун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жыйынтыгы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ФКУ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кол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коёт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8781E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lastRenderedPageBreak/>
        <w:t>4)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каржылоодо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төлөм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документтерине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коёт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штаттык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расписаниесин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түзөт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берет;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кодексине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кызматкерлерди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уюштурат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кызматкерлери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келишимдерине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коет;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келишимдеринин,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жоболорунун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сметасынын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мүмкүнчүлүктөрүнүн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алкагында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кызматкерлерин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сыйлоо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чаралары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алат;</w:t>
      </w:r>
    </w:p>
    <w:p w:rsidR="001C4129" w:rsidRPr="00C025D2" w:rsidRDefault="00B55E8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кызматкердин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бузуусу,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айтканда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жүктөлгөн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милдеттенмелерин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күнөөсү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аткарбоосу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талаптагыдай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аткарбоосу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жаза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7365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5" w:name="r5"/>
      <w:bookmarkEnd w:id="5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44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расмий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басылмаларга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квартал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сайын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жарыяла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турат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маалыматты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администрациясынын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веб-сайтына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жана/же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Президентинин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өкүлүнүн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аппаратынын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сайтына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жайгаштырат.</w:t>
      </w:r>
    </w:p>
    <w:p w:rsidR="001C4129" w:rsidRPr="00C025D2" w:rsidRDefault="001C4129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="00E562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акчалай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сакталышы,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натыйжалуу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максаттуу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пайдаланылышы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жоопкерчилик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тартат.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46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Квартал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сайын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жыйынтыгы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отчеттук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даярдайт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уюмдаш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6D2C7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руучунун,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кароосуна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берет.</w:t>
      </w:r>
    </w:p>
    <w:p w:rsidR="001C4129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47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тийиштүү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көрсөткүчтөрдүн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түшүүсүнүн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даярдайт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кароосуна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4129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киргизет.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5-глава.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эсебинен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каржылоо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долбоорлорду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берүүнүн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тартиби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C025D2" w:rsidP="00C025D2">
      <w:pPr>
        <w:shd w:val="clear" w:color="auto" w:fill="FFFFFF"/>
        <w:spacing w:after="0" w:line="240" w:lineRule="auto"/>
        <w:ind w:left="707" w:right="-1" w:firstLine="709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1</w:t>
      </w:r>
      <w:r w:rsidR="0031068E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-§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Долбоордук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өтүнмөнү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берүүнүн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тартиби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48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өтүнмөлөрдү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келерки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өткөрүүнүн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шарттары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1-июлунан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кеч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каражаттарында,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интернет-ресурстарда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жарыяланат,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маалыматтык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такталарда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жайгаштырылат.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49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Өтүнмөлөр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берүүчүгө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каттоо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ырастоону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катталат.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50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берүүчү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A215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Типтүү ж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талаптарына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жооп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кароосуна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51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кароосуна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муниципалдык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менчик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объектине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тиешеси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кеңештин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бекитилет.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менчиктеги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объектке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карата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тийиштүү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бекитилет.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52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берүүчү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215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 ж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2-тиркемесине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тариздейт.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53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Келерки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өтүнмөлөрдү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чектелген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мөөнөтү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30-ноябрынан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кечиктирилбестен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белгиленет.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54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өтүнмөлөргө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толтуруунун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толуктугу,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техникалык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документтердин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болушу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курулуш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эрежелерге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(уруксат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берүүчү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документтер,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техникалык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спецификациялар,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долбоордук-сметалык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документациялар)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шайкештиги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предметине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жүргүзөт.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дирекциясы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Style w:val="y2iqfc"/>
          <w:rFonts w:ascii="Times New Roman" w:hAnsi="Times New Roman" w:cs="Times New Roman"/>
          <w:sz w:val="28"/>
          <w:szCs w:val="28"/>
          <w:lang w:val="ky-KG"/>
        </w:rPr>
        <w:t>У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талаптарына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шайкеш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келүү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предметине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1068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У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менен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долбоорлорду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алдын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ала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макулдашат.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55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берүүчүдөн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маалыматты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тактоого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кошумча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документтерди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суроого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56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корутундусун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тиркейт,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тиркемелеринин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961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Типтүү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961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талаптарына,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курулуш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ченемдерге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эрежелерге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шайкештиги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көрсөтүлөт.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1068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У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корутундусун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кошумча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тиркейт.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57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өтүнмөлөрдү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бүткөн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күндөн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отуз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күндөн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кечиктирбестен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өткөрөт.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58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башталганга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күндөн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кечиктирбестен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алдын-ала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изилдөө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бардык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корутундуларды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тиркөө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өтүнмөлөрдүн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көчүрмөлөрүн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жиберет.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59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критерийлер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коюлган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баллды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ашырылат.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60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социалдык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инфратүзүмдүк,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классификацияланат.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Кабинети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аныктаган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өзүнчө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критерийлер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колдонулат.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61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менчик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участогунун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чектеринде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муниципалдык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менчик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объекттерин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курууну,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реконструкциялоону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берилбейт.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62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койгон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балл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рейтингдин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катчысы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тизмегин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түзөт,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суммасын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караганда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пландаган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керек.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Мындан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тышкары,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рейтингге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кошумча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резервдик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камтылат,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суммасы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пландаган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20%ынан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ашпайт.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63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эсебинен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тизмегин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протокол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түрүндө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таризделет.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64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органга,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уюмдаштыруучусуна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жөнөтүлөт.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каржылоо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кеңешинин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чечими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мындан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каржылоо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жөнөтүлөт.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65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рейтингин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тизмегин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өзгөртүү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өзгөчө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негиздер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төмөнкүлөр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эсептелет: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жол-жоболорун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бузуунун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ырасталган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фактыларынын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болушу;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тандоонун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катышуучуларынын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канааттандырылган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дооматынын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болушу.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66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тизмегине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өзгөртүүлөрдү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толуктоолорду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киргизүү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тууралуу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катышкан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2/3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добушу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алынат.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67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жыйынтыгы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тийиштүү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органдын,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ишкердик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91D9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субъектт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эсебинен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тууралуу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келишимге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коет.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lastRenderedPageBreak/>
        <w:t>Эгерде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аткаруучусу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Дирекциясы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саналса,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долбоорду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мөөнөттөрү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балансына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өткөрүп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тиешелүү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алдынча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келишим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түзүлөт.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31068E" w:rsidP="00C025D2">
      <w:pPr>
        <w:pStyle w:val="tkZagolovok5"/>
        <w:spacing w:before="0" w:after="0"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2-§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ФК</w:t>
      </w:r>
      <w:r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У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аркылуу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br/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каржылоо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тартиби</w:t>
      </w:r>
    </w:p>
    <w:p w:rsidR="00C025D2" w:rsidRPr="00C025D2" w:rsidRDefault="00C025D2" w:rsidP="00C025D2">
      <w:pPr>
        <w:pStyle w:val="tkZagolovok5"/>
        <w:spacing w:before="0"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C025D2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68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долбоорлорго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үчүн.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Артыкчылыктуу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багыттар: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инновациялык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технологияларга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негизделген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өнөр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өндүрүшүнүн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бардык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түрлөрү;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2)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жеңил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тамак-аш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өнөр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жайы;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3)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электр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энергектика;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4)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чарба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продукциясын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кайра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иштеп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чыгуу;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5)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жыйноочу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өндүрүштөр;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6)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кандай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экспортко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багытталган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өндүрүш.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төмөнкүдөй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критерийлерге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ашырылат:</w:t>
      </w:r>
    </w:p>
    <w:p w:rsidR="00C025D2" w:rsidRPr="00C025D2" w:rsidRDefault="00C025D2" w:rsidP="00C025D2">
      <w:pPr>
        <w:pStyle w:val="tkTekst"/>
        <w:numPr>
          <w:ilvl w:val="0"/>
          <w:numId w:val="3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жумушчу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орундарын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түзүү;</w:t>
      </w:r>
    </w:p>
    <w:p w:rsidR="00C025D2" w:rsidRPr="00C025D2" w:rsidRDefault="00C025D2" w:rsidP="00C025D2">
      <w:pPr>
        <w:pStyle w:val="tkTekst"/>
        <w:numPr>
          <w:ilvl w:val="0"/>
          <w:numId w:val="3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сырьёну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пайдалануу;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3)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экспорттук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потенциалды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жогорулатуу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импортту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алмаштырууну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камсыз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кылуу.</w:t>
      </w:r>
    </w:p>
    <w:p w:rsidR="00C025D2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69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Фонд: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1068E" w:rsidRPr="00C025D2">
        <w:rPr>
          <w:rStyle w:val="y2iqfc"/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У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түзүлгөн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макулдашуунун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субъекттерге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берет;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2)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субъекттерге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берүүдөн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кирешени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Fonts w:ascii="Times New Roman" w:hAnsi="Times New Roman" w:cs="Times New Roman"/>
          <w:sz w:val="28"/>
          <w:szCs w:val="28"/>
          <w:lang w:val="ky-KG"/>
        </w:rPr>
        <w:t>Удагы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эсебинде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топтойт;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3)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карыздын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кайтарып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берилген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суммасын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кирешени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субъекттерге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кайра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каржылоого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жиберет.</w:t>
      </w:r>
    </w:p>
    <w:p w:rsidR="00C025D2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70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шарттары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бузулса,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Фонд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макулдашууну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колдонуу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мөөнөтүн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токтотуп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турат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кеңештин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кароосуна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киргизет.</w:t>
      </w:r>
    </w:p>
    <w:p w:rsidR="00C025D2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71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макулдашуунун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ишкердик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субъекттерге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берет;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2)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макулдашууга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пайдаланылбаган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Fonts w:ascii="Times New Roman" w:hAnsi="Times New Roman" w:cs="Times New Roman"/>
          <w:sz w:val="28"/>
          <w:szCs w:val="28"/>
          <w:lang w:val="ky-KG"/>
        </w:rPr>
        <w:t>Уда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31068E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эсебине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кайтарып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берет;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3)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зайымдык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кайтарып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берилүүсү,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камсыздалышы,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төлөнүшү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мөөнөттүүлүгү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жоопкерчилик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тартат;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кварталдык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пайдалануу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отчёт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берет.</w:t>
      </w:r>
    </w:p>
    <w:p w:rsidR="00C025D2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72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шарттары: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үчүн: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инвестициялык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5624F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ставка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жүгүртүү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капиталы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5624F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ставка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2)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алыскы,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жетүүгө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кыйын,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бийик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тоолуу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ара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аймактарында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ашырылуучу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үчүн: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7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инвестициялык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1,5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ставка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жүгүртүү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капиталы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1,5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ставка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жеңилдетилген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мезгил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карыздарды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жабуу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мезгили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ФК</w:t>
      </w:r>
      <w:r w:rsidR="0031068E">
        <w:rPr>
          <w:rFonts w:ascii="Times New Roman" w:hAnsi="Times New Roman" w:cs="Times New Roman"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каржылоо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шарттарына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белгиленет;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3)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региондук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(Бишкек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шаарларын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кошпогондо)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аяккы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төмөнкүдөй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шартта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жүргүзүлөт: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инвестициялык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ставкасы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6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жүгүртүү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капиталы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ставкасы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6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4)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көлөмү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каржылоонун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жалпы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көлөмүнүн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E5624F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эмес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болгон,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алыскы,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жетүүгө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кыйын,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бийик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тоолуу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ара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аймактарында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ашырылуучу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үчүн: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7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инвестициялык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5,5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ставка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чейинки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жүгүртүү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капиталы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5,5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%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пайыздык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ставка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менен;</w:t>
      </w:r>
    </w:p>
    <w:p w:rsidR="00C025D2" w:rsidRPr="00AF0979" w:rsidRDefault="00C025D2" w:rsidP="00C025D2">
      <w:pPr>
        <w:shd w:val="clear" w:color="auto" w:fill="FFFFFF"/>
        <w:spacing w:after="0" w:line="240" w:lineRule="auto"/>
        <w:ind w:right="-1" w:firstLine="70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5)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жактырылган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долбоорго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долбоорду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аткаруучунун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өтүнмөсүнүн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транш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кредит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келишимине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бөлүнүп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берилет.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F0979" w:rsidRPr="00AF0979" w:rsidRDefault="00AF0979" w:rsidP="00C025D2">
      <w:pPr>
        <w:shd w:val="clear" w:color="auto" w:fill="FFFFFF"/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C025D2" w:rsidP="0031068E">
      <w:pPr>
        <w:shd w:val="clear" w:color="auto" w:fill="FFFFFF"/>
        <w:spacing w:after="0" w:line="240" w:lineRule="auto"/>
        <w:ind w:right="-1" w:firstLine="2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3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-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§.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Долбоордун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аткаруучусунун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милдеттери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73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төмөнкүлөргө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милдеттүү: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аткаруучусу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ортосунда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түзүлгөн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келишимге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ашырууну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камсыздоого;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коомдоштукту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ашырууга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мобилизациялоону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камсыздоого;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сатып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алуулар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товарларды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көрсөтүүлөрдү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сатып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алууга;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зарылдыкка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жараша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аткарылышы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техникалык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көзөмөлдү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камсыздоого;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мониторингдин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жыйынтыктарынын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ашыруунун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бардык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этаптарында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ашыруунун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жүрүшү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тууралуу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калкты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маалымдоого.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74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Квартал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сайын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иштердин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аякташынын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жыйынтыгы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жүрүшү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тууралуу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Эгерде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аткаруучусу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Дирекциясы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саналса,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квартал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сайын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иштердин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аякташынын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жыйынтыктары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аткаруучусу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бюджетти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болжолдоо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экономика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отчетту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форма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долбоорду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ашыруунун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жүрүшү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тууралуу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отчетту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берет.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6-глава.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финансы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каражаттарын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түзүүнүн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br/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сарптоонун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тартиби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C025D2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1</w:t>
      </w:r>
      <w:r w:rsidR="0031068E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-§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финансы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каражаттарын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түзүүнүн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тартиби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75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төмөнкүдөй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түзүлөт: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боюнча: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0853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853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Салыктык</w:t>
      </w:r>
      <w:r w:rsidR="000853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853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0853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853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кирешелер</w:t>
      </w:r>
      <w:r w:rsidR="000853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8538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0853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кодексине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региондорду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фонддору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бөлүштүрүлгөн,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маанидеги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инфратүзүмдү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өнүктүрүүгө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кармоого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чегерүүлөрдүн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суммасын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республикалык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кирешесине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эсептелген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чегерүүлөрдүн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суммаларынын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эсебинен;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бюджетти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болжолдоо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бекиткен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Тартипке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бюджеттен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бөлүнүп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берилүүчү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эсебинен;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атайын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боюнча: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ыктыярдуу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демөөрчүлүк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жардамдын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эсебинен.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76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Өнүктүрүү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фонддорунун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салыктык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кирешелери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болжолдуу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көрсөткүчтөрдү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C025D2" w:rsidRPr="00C025D2" w:rsidRDefault="00C025D2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-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§.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Долбоорлорду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ишке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ашырууга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br/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каражаттарын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сарптоонун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тартиби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77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Учурдагы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каржылоонун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тийиштүү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болжолдуу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көлөмү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бекитилген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тизмеги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учурдагы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жылдын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1065">
        <w:rPr>
          <w:rFonts w:ascii="Times New Roman" w:hAnsi="Times New Roman" w:cs="Times New Roman"/>
          <w:sz w:val="28"/>
          <w:szCs w:val="28"/>
          <w:lang w:val="ky-KG"/>
        </w:rPr>
        <w:br/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1-февралынан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кечиктирбестен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экономика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органга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финансы,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бюджетти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болжолдоо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органга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берилиши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керек.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78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бекитет,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калдыктарын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киргизүү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Министрлер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Кабинетинин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тескемесин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камсыздайт.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79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эсептеринде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болгон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мөөнөттө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каржылоону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ачууга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жөнөтөт.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Эгерде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5инен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кийин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берилсе,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кийинки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жүргүзүлөт.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80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кассалык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чыгашалары,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чыгашалардын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сметасы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3111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“Имараттар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курулмалар”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беренеси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түзүлөт,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калыптанат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каржыланат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жөнөкөйлөтүлгөн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казыналык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жол-жоболор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классификациясында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(2023-жылдын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1-январынан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күчүнө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кирет)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тартипте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ашырылат.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81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тескөөчүсү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болуп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саналган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тандап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алынган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акча-төлөм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операцияларын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бөлүнгөн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жүргүзөт.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82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Тийиштүү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түшүүлөр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кеткен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сметалык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тактоо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тартипте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жүзөгө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ашырылат.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83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акчалай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жүгүртүү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отчеттор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жүргүзүлөт.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84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Социалдык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инфратүзүмдүк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жетекчисинин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атынан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аткаруучусунун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ортосунда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коюлган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тараптуу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ашырылат.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Экономикалык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Фонд,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ФК</w:t>
      </w:r>
      <w:r w:rsidR="00310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ишкердик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</w:t>
      </w:r>
      <w:r w:rsidR="00F0106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бъек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тарабынан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коюлган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тараптуу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келишимдин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жүргүзүлөт.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Эки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тараптуу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келишимдин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типтүү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формасын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Министрлер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Кабинети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бекитет.</w:t>
      </w:r>
    </w:p>
    <w:p w:rsidR="00C025D2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85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төлөмдөргө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мониторинг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жүргүзүү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контролдоо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Фонд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ашырылат.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Фонд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тартипте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төмөнкүдөй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отчетторду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берет:</w:t>
      </w:r>
    </w:p>
    <w:p w:rsidR="00C025D2" w:rsidRPr="00C025D2" w:rsidRDefault="00C025D2" w:rsidP="00C025D2">
      <w:pPr>
        <w:pStyle w:val="tkTekst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1)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сметанын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аткарылышы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финансы,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бюджетти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болжолдоо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органга;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2)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тартипте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ашырылышы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F01065" w:rsidRPr="00F010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1065" w:rsidRPr="00C025D2">
        <w:rPr>
          <w:rFonts w:ascii="Times New Roman" w:hAnsi="Times New Roman" w:cs="Times New Roman"/>
          <w:sz w:val="28"/>
          <w:szCs w:val="28"/>
          <w:lang w:val="ky-KG"/>
        </w:rPr>
        <w:t>экономика</w:t>
      </w:r>
      <w:r w:rsidR="00F010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1065" w:rsidRPr="00C025D2">
        <w:rPr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="00F010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1065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F010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1065" w:rsidRPr="00C025D2">
        <w:rPr>
          <w:rFonts w:ascii="Times New Roman" w:hAnsi="Times New Roman" w:cs="Times New Roman"/>
          <w:sz w:val="28"/>
          <w:szCs w:val="28"/>
          <w:lang w:val="ky-KG"/>
        </w:rPr>
        <w:t>ыйгарым</w:t>
      </w:r>
      <w:r w:rsidR="00F010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1065" w:rsidRPr="00C025D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="00F010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1065" w:rsidRPr="00C025D2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F010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1065" w:rsidRPr="00C025D2">
        <w:rPr>
          <w:rFonts w:ascii="Times New Roman" w:hAnsi="Times New Roman" w:cs="Times New Roman"/>
          <w:sz w:val="28"/>
          <w:szCs w:val="28"/>
          <w:lang w:val="ky-KG"/>
        </w:rPr>
        <w:t>органга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025D2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86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Фонд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долбоорлорду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каржылоо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долбоорду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ашыруунун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графиги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аткарылган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иштердин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актысынын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долбоордун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аткаруучусу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берген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долбоорду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каржылоонун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планы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аткарылган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транштын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актысынын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негизинде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ашырылат.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025D2" w:rsidRPr="00C025D2" w:rsidRDefault="00E5624F" w:rsidP="00C025D2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87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Жергиликтүү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маанидеги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инфратүзүмдү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өнүктүрүүгө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кармоого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чегерүүлөрдүн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суммаларынын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эсебинен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түзүлгөн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отчеттук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жылдын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аягында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өздөштүрүлбөй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калган</w:t>
      </w:r>
      <w:r w:rsidR="00C025D2">
        <w:rPr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бюджеттик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каражаттарынын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калдыктары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тартипте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республикалык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бюджетке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кайтарылат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тийиштүү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каражаты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катары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кийинки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отчеттук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жылда</w:t>
      </w:r>
      <w:r w:rsidR="00C02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25D2" w:rsidRPr="00C025D2">
        <w:rPr>
          <w:rFonts w:ascii="Times New Roman" w:hAnsi="Times New Roman" w:cs="Times New Roman"/>
          <w:sz w:val="28"/>
          <w:szCs w:val="28"/>
          <w:lang w:val="ky-KG"/>
        </w:rPr>
        <w:t>бекитилет.</w:t>
      </w:r>
      <w:r w:rsidR="00C025D2">
        <w:rPr>
          <w:rFonts w:ascii="Times New Roman" w:hAnsi="Times New Roman" w:cs="Times New Roman"/>
          <w:sz w:val="28"/>
          <w:szCs w:val="28"/>
          <w:highlight w:val="yellow"/>
          <w:lang w:val="ky-KG"/>
        </w:rPr>
        <w:t xml:space="preserve"> 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hAnsi="Times New Roman" w:cs="Times New Roman"/>
          <w:sz w:val="28"/>
          <w:szCs w:val="28"/>
          <w:lang w:val="ky-KG"/>
        </w:rPr>
        <w:t>Учурдагы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Фонддун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республикалык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бюджеттен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алып,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өздөштүрүлбөй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калган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пландалган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жылга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өтпөй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турган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болуп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025D2">
        <w:rPr>
          <w:rFonts w:ascii="Times New Roman" w:hAnsi="Times New Roman" w:cs="Times New Roman"/>
          <w:sz w:val="28"/>
          <w:szCs w:val="28"/>
          <w:lang w:val="ky-KG"/>
        </w:rPr>
        <w:t>саналат.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7-глава.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ишине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br/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жүргүзүү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баалоо</w:t>
      </w:r>
      <w:bookmarkStart w:id="6" w:name="r8"/>
      <w:bookmarkEnd w:id="6"/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88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натыйжалуулугуна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төмөнкүлөр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жүргүзүлөт: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ишинин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</w:t>
      </w:r>
      <w:r w:rsidR="00C961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Типтүү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9615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ободо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Уставында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аныкталган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эрежелерге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жол-жоболорго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шайкештиги;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максаттуу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пайдаланууну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сактоо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бекитилген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пландарга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шайкештиги;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программаларын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аткаруунун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натыйжалуулугун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Республикасынын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жол-жоболорун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ченемдерин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сактоо.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89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жүргүзүүнүн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методикасын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чыгат,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бекитилет.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90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сунуштоосу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тобунун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курамын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бекитет.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топтун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курамына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мүчөлөрү,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органдардын,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алдынча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органдарынын,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коммерциялык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коммерциялык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уюмдардын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өкүлдөрү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кириши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мүмкүн.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91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топтун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документтерине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маалыматтарына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эркин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жетүү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укугуна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ээ.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92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жыйынтыктары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түрүндө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таризделет,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жыйынтыктары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четтөөлөрдү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жоюу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сунуштар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чагылдырылат.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93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Мониторингдик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топтун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жыйналыштарында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жылына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жолудан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эмес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угулат.</w:t>
      </w: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94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Мониторингдин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баалоонун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жыйынтыктары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отчету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жылдык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финансы,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бюджетти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болжолдоо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органга,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экономика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чөйрөсүндөгү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жөнөтүлөт.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C025D2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8-глава.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Өзгөчө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шарттар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95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кылуу,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материалдык-техникалык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камсыздоо,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кызматкерлеринин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эмгегине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төлөө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операциялык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чыгымдарга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төмөнкүдөй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тартипте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каралат: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сомдон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(жыйырма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(жыйырма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сомдон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(кырк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(кырк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сомдон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(алтымыш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(алтымыш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сомдон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(сексен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2,5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(сексен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сомдон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(жүз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2,3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(жүз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сомдон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(жүз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(жүз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сомдон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(эки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1,8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чейин;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(эки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миллион)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сомдон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ашык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чегерүүлөр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түшкөн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акча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көлөмүнөн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1,5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чейин.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C025D2" w:rsidP="00C025D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9-глава.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Кызыкчылыктардын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 </w:t>
      </w:r>
      <w:r w:rsidRPr="00C025D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кагылышы</w:t>
      </w:r>
    </w:p>
    <w:p w:rsidR="00C025D2" w:rsidRPr="00C025D2" w:rsidRDefault="00C025D2" w:rsidP="00C025D2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025D2" w:rsidRPr="00C025D2" w:rsidRDefault="00E5624F" w:rsidP="00C025D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96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Эгерде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Байкоочу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кеңешинин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мүчөлөрү,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дирекциясы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Фонддун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каражаттарынын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эсебинен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каржылоонун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алкагында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каралып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жаткан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кайсы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долбоорго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кызыкчылыгы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болсо,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алар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тиешелүү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маселени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талкуулоого,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каралып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жаткан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кабыл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алууда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добуш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берүүгө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катышпашы</w:t>
      </w:r>
      <w:r w:rsid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025D2" w:rsidRPr="00C025D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керек.</w:t>
      </w:r>
    </w:p>
    <w:p w:rsidR="00C025D2" w:rsidRPr="00C025D2" w:rsidRDefault="00C025D2" w:rsidP="00C025D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025D2" w:rsidRPr="00C025D2" w:rsidRDefault="00C025D2" w:rsidP="00C025D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025D2" w:rsidRPr="00C025D2" w:rsidRDefault="00C025D2" w:rsidP="00C025D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025D2" w:rsidRPr="00C025D2" w:rsidRDefault="00C025D2" w:rsidP="00C025D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025D2" w:rsidRPr="00C025D2" w:rsidRDefault="00C025D2" w:rsidP="00C025D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025D2" w:rsidRPr="00C025D2" w:rsidRDefault="00C025D2" w:rsidP="00C025D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</w:p>
    <w:sectPr w:rsidR="00C025D2" w:rsidRPr="00C025D2" w:rsidSect="004026B8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AC" w:rsidRDefault="00033EAC" w:rsidP="001E33BF">
      <w:pPr>
        <w:spacing w:after="0" w:line="240" w:lineRule="auto"/>
      </w:pPr>
      <w:r>
        <w:separator/>
      </w:r>
    </w:p>
  </w:endnote>
  <w:endnote w:type="continuationSeparator" w:id="0">
    <w:p w:rsidR="00033EAC" w:rsidRDefault="00033EAC" w:rsidP="001E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063021412"/>
      <w:docPartObj>
        <w:docPartGallery w:val="Page Numbers (Bottom of Page)"/>
        <w:docPartUnique/>
      </w:docPartObj>
    </w:sdtPr>
    <w:sdtEndPr/>
    <w:sdtContent>
      <w:p w:rsidR="00B74A06" w:rsidRPr="004026B8" w:rsidRDefault="00B74A06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026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26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26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73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6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4A06" w:rsidRPr="004026B8" w:rsidRDefault="00B74A06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AC" w:rsidRDefault="00033EAC" w:rsidP="001E33BF">
      <w:pPr>
        <w:spacing w:after="0" w:line="240" w:lineRule="auto"/>
      </w:pPr>
      <w:r>
        <w:separator/>
      </w:r>
    </w:p>
  </w:footnote>
  <w:footnote w:type="continuationSeparator" w:id="0">
    <w:p w:rsidR="00033EAC" w:rsidRDefault="00033EAC" w:rsidP="001E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6157"/>
    <w:multiLevelType w:val="hybridMultilevel"/>
    <w:tmpl w:val="26584402"/>
    <w:lvl w:ilvl="0" w:tplc="0BC49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72FB1"/>
    <w:multiLevelType w:val="hybridMultilevel"/>
    <w:tmpl w:val="FF4230D6"/>
    <w:lvl w:ilvl="0" w:tplc="F078BC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B41637"/>
    <w:multiLevelType w:val="hybridMultilevel"/>
    <w:tmpl w:val="CAD00AE8"/>
    <w:lvl w:ilvl="0" w:tplc="B08A25DC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388715C"/>
    <w:multiLevelType w:val="hybridMultilevel"/>
    <w:tmpl w:val="9C9470E2"/>
    <w:lvl w:ilvl="0" w:tplc="AAA280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09"/>
    <w:rsid w:val="00022A50"/>
    <w:rsid w:val="00030B50"/>
    <w:rsid w:val="00033EAC"/>
    <w:rsid w:val="00085382"/>
    <w:rsid w:val="00086FC3"/>
    <w:rsid w:val="00087220"/>
    <w:rsid w:val="000A2659"/>
    <w:rsid w:val="000C18CB"/>
    <w:rsid w:val="000C692A"/>
    <w:rsid w:val="000D2E6D"/>
    <w:rsid w:val="000E30F2"/>
    <w:rsid w:val="000E4C52"/>
    <w:rsid w:val="000F6813"/>
    <w:rsid w:val="00107921"/>
    <w:rsid w:val="00122B77"/>
    <w:rsid w:val="001260ED"/>
    <w:rsid w:val="001347DD"/>
    <w:rsid w:val="0013574B"/>
    <w:rsid w:val="00137312"/>
    <w:rsid w:val="0018781E"/>
    <w:rsid w:val="001A4936"/>
    <w:rsid w:val="001B2973"/>
    <w:rsid w:val="001B3CB9"/>
    <w:rsid w:val="001C4129"/>
    <w:rsid w:val="001E33BF"/>
    <w:rsid w:val="001E4147"/>
    <w:rsid w:val="001F7BC3"/>
    <w:rsid w:val="002107A7"/>
    <w:rsid w:val="002158FD"/>
    <w:rsid w:val="002458BC"/>
    <w:rsid w:val="00252513"/>
    <w:rsid w:val="00260F67"/>
    <w:rsid w:val="002A1201"/>
    <w:rsid w:val="002A4CE7"/>
    <w:rsid w:val="002A68A7"/>
    <w:rsid w:val="002D4100"/>
    <w:rsid w:val="002E64BB"/>
    <w:rsid w:val="00301CE0"/>
    <w:rsid w:val="003040F1"/>
    <w:rsid w:val="0031068E"/>
    <w:rsid w:val="003278D1"/>
    <w:rsid w:val="0033493E"/>
    <w:rsid w:val="0035264E"/>
    <w:rsid w:val="0035606C"/>
    <w:rsid w:val="003605F9"/>
    <w:rsid w:val="00377AE1"/>
    <w:rsid w:val="0038039A"/>
    <w:rsid w:val="003A2101"/>
    <w:rsid w:val="003C7AE3"/>
    <w:rsid w:val="003D358B"/>
    <w:rsid w:val="003F7519"/>
    <w:rsid w:val="004026B8"/>
    <w:rsid w:val="00443758"/>
    <w:rsid w:val="0047731B"/>
    <w:rsid w:val="00483A7B"/>
    <w:rsid w:val="00491E51"/>
    <w:rsid w:val="004D425F"/>
    <w:rsid w:val="004E102B"/>
    <w:rsid w:val="004E7865"/>
    <w:rsid w:val="004E7C8B"/>
    <w:rsid w:val="00511223"/>
    <w:rsid w:val="00531EA6"/>
    <w:rsid w:val="00546A85"/>
    <w:rsid w:val="00572D09"/>
    <w:rsid w:val="005807D7"/>
    <w:rsid w:val="0058449F"/>
    <w:rsid w:val="005B0960"/>
    <w:rsid w:val="005D7360"/>
    <w:rsid w:val="005E0182"/>
    <w:rsid w:val="005E4C30"/>
    <w:rsid w:val="0060398A"/>
    <w:rsid w:val="006310AF"/>
    <w:rsid w:val="00635569"/>
    <w:rsid w:val="006652F3"/>
    <w:rsid w:val="00667051"/>
    <w:rsid w:val="00684FAE"/>
    <w:rsid w:val="006A1A64"/>
    <w:rsid w:val="006B32B8"/>
    <w:rsid w:val="006B42A2"/>
    <w:rsid w:val="006D2C72"/>
    <w:rsid w:val="00702AD5"/>
    <w:rsid w:val="00707E07"/>
    <w:rsid w:val="00713F8E"/>
    <w:rsid w:val="007260ED"/>
    <w:rsid w:val="00731214"/>
    <w:rsid w:val="007317A3"/>
    <w:rsid w:val="00733936"/>
    <w:rsid w:val="00734751"/>
    <w:rsid w:val="00755BF7"/>
    <w:rsid w:val="007A0A5F"/>
    <w:rsid w:val="007A2CEF"/>
    <w:rsid w:val="007A4CC8"/>
    <w:rsid w:val="007A5740"/>
    <w:rsid w:val="007D449A"/>
    <w:rsid w:val="007E4406"/>
    <w:rsid w:val="008245BF"/>
    <w:rsid w:val="008439E7"/>
    <w:rsid w:val="008460BC"/>
    <w:rsid w:val="00872792"/>
    <w:rsid w:val="00872C80"/>
    <w:rsid w:val="00893711"/>
    <w:rsid w:val="008C2900"/>
    <w:rsid w:val="008E1F4F"/>
    <w:rsid w:val="00926CDD"/>
    <w:rsid w:val="00970666"/>
    <w:rsid w:val="0097695D"/>
    <w:rsid w:val="009B1E61"/>
    <w:rsid w:val="009B52EC"/>
    <w:rsid w:val="009C02AE"/>
    <w:rsid w:val="009E5620"/>
    <w:rsid w:val="009F1A92"/>
    <w:rsid w:val="00A2158E"/>
    <w:rsid w:val="00A259A9"/>
    <w:rsid w:val="00A62B47"/>
    <w:rsid w:val="00A648B3"/>
    <w:rsid w:val="00A774FC"/>
    <w:rsid w:val="00A948A0"/>
    <w:rsid w:val="00A96CC5"/>
    <w:rsid w:val="00A96E96"/>
    <w:rsid w:val="00AA61FB"/>
    <w:rsid w:val="00AF0979"/>
    <w:rsid w:val="00AF6BB8"/>
    <w:rsid w:val="00B02AC7"/>
    <w:rsid w:val="00B16093"/>
    <w:rsid w:val="00B23D6C"/>
    <w:rsid w:val="00B37D43"/>
    <w:rsid w:val="00B54076"/>
    <w:rsid w:val="00B55E82"/>
    <w:rsid w:val="00B74A06"/>
    <w:rsid w:val="00B91D92"/>
    <w:rsid w:val="00BB433E"/>
    <w:rsid w:val="00BD39EE"/>
    <w:rsid w:val="00BF0476"/>
    <w:rsid w:val="00C0104C"/>
    <w:rsid w:val="00C025D2"/>
    <w:rsid w:val="00C05B36"/>
    <w:rsid w:val="00C14209"/>
    <w:rsid w:val="00C27893"/>
    <w:rsid w:val="00C3153C"/>
    <w:rsid w:val="00C34B62"/>
    <w:rsid w:val="00C42647"/>
    <w:rsid w:val="00C77365"/>
    <w:rsid w:val="00C84A4E"/>
    <w:rsid w:val="00C96153"/>
    <w:rsid w:val="00CB2658"/>
    <w:rsid w:val="00CD5D75"/>
    <w:rsid w:val="00CE5FBC"/>
    <w:rsid w:val="00D020B8"/>
    <w:rsid w:val="00D03503"/>
    <w:rsid w:val="00D15710"/>
    <w:rsid w:val="00D330F9"/>
    <w:rsid w:val="00D6585F"/>
    <w:rsid w:val="00D979D9"/>
    <w:rsid w:val="00DA5B8E"/>
    <w:rsid w:val="00DB47FF"/>
    <w:rsid w:val="00DB5A4E"/>
    <w:rsid w:val="00DD04FE"/>
    <w:rsid w:val="00DE1DF9"/>
    <w:rsid w:val="00DF06BC"/>
    <w:rsid w:val="00E14158"/>
    <w:rsid w:val="00E32F7A"/>
    <w:rsid w:val="00E55044"/>
    <w:rsid w:val="00E5624F"/>
    <w:rsid w:val="00E91621"/>
    <w:rsid w:val="00EB36D1"/>
    <w:rsid w:val="00EB4215"/>
    <w:rsid w:val="00EC7A01"/>
    <w:rsid w:val="00ED3976"/>
    <w:rsid w:val="00ED3BDE"/>
    <w:rsid w:val="00ED4F9F"/>
    <w:rsid w:val="00EF3245"/>
    <w:rsid w:val="00F01065"/>
    <w:rsid w:val="00F013BD"/>
    <w:rsid w:val="00F056F4"/>
    <w:rsid w:val="00F308E1"/>
    <w:rsid w:val="00F35F3F"/>
    <w:rsid w:val="00F62E8B"/>
    <w:rsid w:val="00F73A32"/>
    <w:rsid w:val="00FA4923"/>
    <w:rsid w:val="00FC27BC"/>
    <w:rsid w:val="00FD2A08"/>
    <w:rsid w:val="00FE0903"/>
    <w:rsid w:val="00FE7399"/>
    <w:rsid w:val="00FF00A6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8D7C-C3FA-4827-AF4A-EC81044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29"/>
    <w:rPr>
      <w:color w:val="0000FF"/>
      <w:u w:val="single"/>
    </w:rPr>
  </w:style>
  <w:style w:type="paragraph" w:customStyle="1" w:styleId="tkNazvanie">
    <w:name w:val="_Название (tkNazvanie)"/>
    <w:basedOn w:val="a"/>
    <w:rsid w:val="005E018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B1E6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y2iqfc">
    <w:name w:val="y2iqfc"/>
    <w:basedOn w:val="a0"/>
    <w:rsid w:val="0018781E"/>
  </w:style>
  <w:style w:type="paragraph" w:customStyle="1" w:styleId="tkZagolovok5">
    <w:name w:val="_Заголовок Статья (tkZagolovok5)"/>
    <w:basedOn w:val="a"/>
    <w:rsid w:val="00A62B47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qFormat/>
    <w:rsid w:val="00D658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6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585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46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C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3BF"/>
  </w:style>
  <w:style w:type="paragraph" w:styleId="aa">
    <w:name w:val="footer"/>
    <w:basedOn w:val="a"/>
    <w:link w:val="ab"/>
    <w:uiPriority w:val="99"/>
    <w:unhideWhenUsed/>
    <w:rsid w:val="001E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7FED-D667-45E0-BE9C-CFF08D6C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6365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keneshbekov akim</dc:creator>
  <cp:lastModifiedBy>Кыдыралиев Марат</cp:lastModifiedBy>
  <cp:revision>2</cp:revision>
  <cp:lastPrinted>2022-07-28T10:34:00Z</cp:lastPrinted>
  <dcterms:created xsi:type="dcterms:W3CDTF">2022-08-02T12:15:00Z</dcterms:created>
  <dcterms:modified xsi:type="dcterms:W3CDTF">2022-08-02T12:15:00Z</dcterms:modified>
</cp:coreProperties>
</file>