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EC" w:rsidRPr="00983281" w:rsidRDefault="00720438" w:rsidP="008D4D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83281">
        <w:rPr>
          <w:rFonts w:ascii="Times New Roman" w:hAnsi="Times New Roman" w:cs="Times New Roman"/>
          <w:b/>
          <w:sz w:val="24"/>
          <w:szCs w:val="28"/>
        </w:rPr>
        <w:t>СРАВНИТЕЛЬНАЯ ТАБЛИЦА</w:t>
      </w:r>
    </w:p>
    <w:p w:rsidR="009A5877" w:rsidRPr="00983281" w:rsidRDefault="009A5877" w:rsidP="009A5877">
      <w:pPr>
        <w:pStyle w:val="a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83281">
        <w:rPr>
          <w:rFonts w:ascii="Times New Roman" w:hAnsi="Times New Roman" w:cs="Times New Roman"/>
          <w:b/>
          <w:sz w:val="24"/>
          <w:szCs w:val="28"/>
        </w:rPr>
        <w:t xml:space="preserve">к проекту приказа Министерства экономики и финансов Кыргызской Республики «О внесении изменений в приказ Министерства финансов Кыргызской Республики «Об утверждении Положения по ведению бухгалтерского учета и финансовой отчетности в секторе государственного управления» от 25 декабря 2018 года № 137-П» </w:t>
      </w:r>
    </w:p>
    <w:p w:rsidR="008D4DEC" w:rsidRPr="009A5877" w:rsidRDefault="008D4DEC" w:rsidP="00392374">
      <w:pPr>
        <w:spacing w:after="0" w:line="240" w:lineRule="auto"/>
        <w:ind w:left="426" w:right="39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43"/>
        <w:tblW w:w="14496" w:type="dxa"/>
        <w:tblLook w:val="04A0" w:firstRow="1" w:lastRow="0" w:firstColumn="1" w:lastColumn="0" w:noHBand="0" w:noVBand="1"/>
      </w:tblPr>
      <w:tblGrid>
        <w:gridCol w:w="7247"/>
        <w:gridCol w:w="7249"/>
      </w:tblGrid>
      <w:tr w:rsidR="00392374" w:rsidRPr="009A5877" w:rsidTr="001451E9">
        <w:trPr>
          <w:trHeight w:val="156"/>
        </w:trPr>
        <w:tc>
          <w:tcPr>
            <w:tcW w:w="7247" w:type="dxa"/>
          </w:tcPr>
          <w:p w:rsidR="00392374" w:rsidRPr="009A5877" w:rsidRDefault="00392374" w:rsidP="0039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81">
              <w:rPr>
                <w:rFonts w:ascii="Times New Roman" w:hAnsi="Times New Roman" w:cs="Times New Roman"/>
                <w:sz w:val="24"/>
                <w:szCs w:val="28"/>
              </w:rPr>
              <w:t xml:space="preserve">Действующая редакция </w:t>
            </w:r>
          </w:p>
        </w:tc>
        <w:tc>
          <w:tcPr>
            <w:tcW w:w="7249" w:type="dxa"/>
          </w:tcPr>
          <w:p w:rsidR="00392374" w:rsidRPr="009A5877" w:rsidRDefault="00392374" w:rsidP="00392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281">
              <w:rPr>
                <w:rFonts w:ascii="Times New Roman" w:hAnsi="Times New Roman" w:cs="Times New Roman"/>
                <w:sz w:val="24"/>
                <w:szCs w:val="28"/>
              </w:rPr>
              <w:t xml:space="preserve">Предлагаемая редакция </w:t>
            </w:r>
          </w:p>
        </w:tc>
      </w:tr>
      <w:tr w:rsidR="009A5877" w:rsidRPr="009A5877" w:rsidTr="001451E9">
        <w:trPr>
          <w:trHeight w:val="156"/>
        </w:trPr>
        <w:tc>
          <w:tcPr>
            <w:tcW w:w="7247" w:type="dxa"/>
          </w:tcPr>
          <w:p w:rsidR="009A5877" w:rsidRPr="00983281" w:rsidRDefault="009A5877" w:rsidP="009A5877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A5877" w:rsidRPr="00983281" w:rsidRDefault="00983281" w:rsidP="009A5877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983281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3.2. Учет расчетов с юридическими лицами</w:t>
            </w:r>
          </w:p>
          <w:p w:rsidR="00983281" w:rsidRPr="00983281" w:rsidRDefault="00983281" w:rsidP="009A5877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y-KG"/>
              </w:rPr>
            </w:pPr>
            <w:r w:rsidRPr="0098328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y-KG"/>
              </w:rPr>
              <w:t>...</w:t>
            </w:r>
          </w:p>
          <w:p w:rsidR="009A5877" w:rsidRPr="00983281" w:rsidRDefault="00983281" w:rsidP="009A5877">
            <w:pPr>
              <w:pStyle w:val="a4"/>
              <w:ind w:left="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328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31</w:t>
            </w:r>
            <w:r w:rsidRPr="0098328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y-KG"/>
              </w:rPr>
              <w:t>2</w:t>
            </w:r>
            <w:r w:rsidR="009A5877" w:rsidRPr="0098328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. Сумма авансовых платежей (предоплата) не должна превышать 10 процентов от общей суммы договора, при условии предоставления поставщиком (подрядчиком) банковской гарантии на сумму авансового платежа. Банковская гарантия остается в силе до полного погашения авансового платежа. При заключении договоров </w:t>
            </w:r>
            <w:r w:rsidR="009A5877" w:rsidRPr="00D21CA0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на закупку товаров, работ и услуг,</w:t>
            </w:r>
            <w:r w:rsidR="009A5877" w:rsidRPr="00D21CA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непосредственно связанных </w:t>
            </w:r>
            <w:r w:rsidR="009A5877" w:rsidRPr="00D21CA0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с чрезвычайными ситуациями, национальной безопасностью, обороной и защитой государственных секретов, авансовые платежи (предоплата) производятся более 10 процентов от суммы договора, в соответствии с законодательством о государственных закупках связанных с национальной безопасностью, обороной и защитой государственных секретов.</w:t>
            </w:r>
          </w:p>
        </w:tc>
        <w:tc>
          <w:tcPr>
            <w:tcW w:w="7249" w:type="dxa"/>
          </w:tcPr>
          <w:p w:rsidR="009A5877" w:rsidRPr="00983281" w:rsidRDefault="009A5877" w:rsidP="009A5877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83281" w:rsidRPr="00983281" w:rsidRDefault="00983281" w:rsidP="00983281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</w:pPr>
            <w:r w:rsidRPr="00983281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3.2. Учет расчетов с юридическими лицами</w:t>
            </w:r>
          </w:p>
          <w:p w:rsidR="00983281" w:rsidRPr="00983281" w:rsidRDefault="00983281" w:rsidP="00983281">
            <w:pPr>
              <w:pStyle w:val="a4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y-KG"/>
              </w:rPr>
            </w:pPr>
            <w:r w:rsidRPr="00983281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y-KG"/>
              </w:rPr>
              <w:t>...</w:t>
            </w:r>
          </w:p>
          <w:p w:rsidR="009A5877" w:rsidRPr="00D21CA0" w:rsidRDefault="00D21CA0" w:rsidP="009A5877">
            <w:pPr>
              <w:pStyle w:val="tkTekst"/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21C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312. Сумма авансовых платежей (предоплата) не должна превышать 10 процентов от общей суммы договора, при условии предоставления поставщиком (подрядчиком) банковской гарантии на сумму авансового платежа. Банковская гарантия остается в силе до полного погашения авансового платежа. При заключении договоров непосредственно связанных </w:t>
            </w:r>
            <w:r w:rsidRPr="00D21CA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защитой государственных секретов, чрезвычайными ситуациями, национальной безопасностью и обороной, а также с закупками лекарственных средств и медицинских изделий через организации (представительства), учрежденные Организацией Объединенных Наций, могут быть предусмотрены авансовые платежи (предоплата) более 10 процентов от суммы договора.</w:t>
            </w:r>
          </w:p>
        </w:tc>
      </w:tr>
    </w:tbl>
    <w:p w:rsidR="00EC74F3" w:rsidRDefault="00EC74F3" w:rsidP="00EC7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4F3" w:rsidRPr="00176DE8" w:rsidRDefault="00E506D3" w:rsidP="00EC7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EC74F3" w:rsidRPr="00176DE8">
        <w:rPr>
          <w:rFonts w:ascii="Times New Roman" w:hAnsi="Times New Roman" w:cs="Times New Roman"/>
          <w:b/>
          <w:sz w:val="24"/>
          <w:szCs w:val="24"/>
        </w:rPr>
        <w:t>инистр</w:t>
      </w:r>
      <w:bookmarkStart w:id="0" w:name="_GoBack"/>
      <w:bookmarkEnd w:id="0"/>
      <w:r w:rsidR="00EC74F3" w:rsidRPr="00176DE8">
        <w:rPr>
          <w:rFonts w:ascii="Times New Roman" w:hAnsi="Times New Roman" w:cs="Times New Roman"/>
          <w:b/>
          <w:sz w:val="24"/>
          <w:szCs w:val="24"/>
        </w:rPr>
        <w:t xml:space="preserve"> экономики и финансов </w:t>
      </w:r>
    </w:p>
    <w:p w:rsidR="00EC74F3" w:rsidRPr="00176DE8" w:rsidRDefault="00EC74F3" w:rsidP="00EC7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DE8">
        <w:rPr>
          <w:rFonts w:ascii="Times New Roman" w:hAnsi="Times New Roman" w:cs="Times New Roman"/>
          <w:b/>
          <w:sz w:val="24"/>
          <w:szCs w:val="24"/>
        </w:rPr>
        <w:t>Кыргызской Республики</w:t>
      </w:r>
      <w:r w:rsidRPr="00176DE8">
        <w:rPr>
          <w:rFonts w:ascii="Times New Roman" w:hAnsi="Times New Roman" w:cs="Times New Roman"/>
          <w:b/>
          <w:sz w:val="24"/>
          <w:szCs w:val="24"/>
        </w:rPr>
        <w:tab/>
      </w:r>
      <w:r w:rsidRPr="00176DE8">
        <w:rPr>
          <w:rFonts w:ascii="Times New Roman" w:hAnsi="Times New Roman" w:cs="Times New Roman"/>
          <w:b/>
          <w:sz w:val="24"/>
          <w:szCs w:val="24"/>
        </w:rPr>
        <w:tab/>
      </w:r>
      <w:r w:rsidRPr="00176DE8">
        <w:rPr>
          <w:rFonts w:ascii="Times New Roman" w:hAnsi="Times New Roman" w:cs="Times New Roman"/>
          <w:b/>
          <w:sz w:val="24"/>
          <w:szCs w:val="24"/>
        </w:rPr>
        <w:tab/>
      </w:r>
      <w:r w:rsidRPr="00176DE8">
        <w:rPr>
          <w:rFonts w:ascii="Times New Roman" w:hAnsi="Times New Roman" w:cs="Times New Roman"/>
          <w:b/>
          <w:sz w:val="24"/>
          <w:szCs w:val="24"/>
        </w:rPr>
        <w:tab/>
      </w:r>
      <w:r w:rsidRPr="00176DE8">
        <w:rPr>
          <w:rFonts w:ascii="Times New Roman" w:hAnsi="Times New Roman" w:cs="Times New Roman"/>
          <w:b/>
          <w:sz w:val="24"/>
          <w:szCs w:val="24"/>
        </w:rPr>
        <w:tab/>
      </w:r>
      <w:r w:rsidRPr="00176DE8">
        <w:rPr>
          <w:rFonts w:ascii="Times New Roman" w:hAnsi="Times New Roman" w:cs="Times New Roman"/>
          <w:b/>
          <w:sz w:val="24"/>
          <w:szCs w:val="24"/>
        </w:rPr>
        <w:tab/>
      </w:r>
      <w:r w:rsidRPr="00176DE8">
        <w:rPr>
          <w:rFonts w:ascii="Times New Roman" w:hAnsi="Times New Roman" w:cs="Times New Roman"/>
          <w:b/>
          <w:sz w:val="24"/>
          <w:szCs w:val="24"/>
        </w:rPr>
        <w:tab/>
      </w:r>
      <w:r w:rsidRPr="00176DE8">
        <w:rPr>
          <w:rFonts w:ascii="Times New Roman" w:hAnsi="Times New Roman" w:cs="Times New Roman"/>
          <w:b/>
          <w:sz w:val="24"/>
          <w:szCs w:val="24"/>
        </w:rPr>
        <w:tab/>
      </w:r>
      <w:r w:rsidRPr="00176DE8">
        <w:rPr>
          <w:rFonts w:ascii="Times New Roman" w:hAnsi="Times New Roman" w:cs="Times New Roman"/>
          <w:b/>
          <w:sz w:val="24"/>
          <w:szCs w:val="24"/>
        </w:rPr>
        <w:tab/>
      </w:r>
      <w:r w:rsidRPr="00176DE8">
        <w:rPr>
          <w:rFonts w:ascii="Times New Roman" w:hAnsi="Times New Roman" w:cs="Times New Roman"/>
          <w:b/>
          <w:sz w:val="24"/>
          <w:szCs w:val="24"/>
        </w:rPr>
        <w:tab/>
      </w:r>
      <w:r w:rsidRPr="00176DE8">
        <w:rPr>
          <w:rFonts w:ascii="Times New Roman" w:hAnsi="Times New Roman" w:cs="Times New Roman"/>
          <w:b/>
          <w:sz w:val="24"/>
          <w:szCs w:val="24"/>
        </w:rPr>
        <w:tab/>
      </w:r>
      <w:r w:rsidRPr="00176DE8">
        <w:rPr>
          <w:rFonts w:ascii="Times New Roman" w:hAnsi="Times New Roman" w:cs="Times New Roman"/>
          <w:b/>
          <w:sz w:val="24"/>
          <w:szCs w:val="24"/>
        </w:rPr>
        <w:tab/>
      </w:r>
      <w:r w:rsidRPr="00176DE8">
        <w:rPr>
          <w:rFonts w:ascii="Times New Roman" w:hAnsi="Times New Roman" w:cs="Times New Roman"/>
          <w:b/>
          <w:sz w:val="24"/>
          <w:szCs w:val="24"/>
        </w:rPr>
        <w:tab/>
      </w:r>
    </w:p>
    <w:p w:rsidR="000C364A" w:rsidRPr="00EC74F3" w:rsidRDefault="00EC74F3" w:rsidP="00D3174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sectPr w:rsidR="000C364A" w:rsidRPr="00EC74F3" w:rsidSect="00D2160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655C"/>
    <w:multiLevelType w:val="hybridMultilevel"/>
    <w:tmpl w:val="45FEA6D6"/>
    <w:lvl w:ilvl="0" w:tplc="EDB84248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9496E"/>
    <w:multiLevelType w:val="hybridMultilevel"/>
    <w:tmpl w:val="44F02C60"/>
    <w:lvl w:ilvl="0" w:tplc="E7506F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91163"/>
    <w:multiLevelType w:val="hybridMultilevel"/>
    <w:tmpl w:val="C8C85CC6"/>
    <w:lvl w:ilvl="0" w:tplc="C3B69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FD5EC9"/>
    <w:multiLevelType w:val="hybridMultilevel"/>
    <w:tmpl w:val="3984E09E"/>
    <w:lvl w:ilvl="0" w:tplc="B65EBE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27DFF"/>
    <w:multiLevelType w:val="hybridMultilevel"/>
    <w:tmpl w:val="1F2A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EC"/>
    <w:rsid w:val="000C364A"/>
    <w:rsid w:val="001451E9"/>
    <w:rsid w:val="00176DE8"/>
    <w:rsid w:val="001F3E2A"/>
    <w:rsid w:val="00242F03"/>
    <w:rsid w:val="00327A80"/>
    <w:rsid w:val="00392374"/>
    <w:rsid w:val="004D2631"/>
    <w:rsid w:val="006E5A1F"/>
    <w:rsid w:val="00720438"/>
    <w:rsid w:val="00791BC9"/>
    <w:rsid w:val="007E3CD8"/>
    <w:rsid w:val="00840B22"/>
    <w:rsid w:val="00875BAA"/>
    <w:rsid w:val="008D4DEC"/>
    <w:rsid w:val="00983281"/>
    <w:rsid w:val="009A5877"/>
    <w:rsid w:val="00AA59E2"/>
    <w:rsid w:val="00D21604"/>
    <w:rsid w:val="00D21CA0"/>
    <w:rsid w:val="00D31741"/>
    <w:rsid w:val="00DD114D"/>
    <w:rsid w:val="00E36C79"/>
    <w:rsid w:val="00E506D3"/>
    <w:rsid w:val="00EC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4DE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D4D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37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877"/>
    <w:pPr>
      <w:spacing w:after="0" w:line="240" w:lineRule="auto"/>
    </w:pPr>
  </w:style>
  <w:style w:type="paragraph" w:customStyle="1" w:styleId="tkNazvanie">
    <w:name w:val="_Название (tkNazvanie)"/>
    <w:basedOn w:val="a"/>
    <w:rsid w:val="009A587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A587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4DE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D4DE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37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5877"/>
    <w:pPr>
      <w:spacing w:after="0" w:line="240" w:lineRule="auto"/>
    </w:pPr>
  </w:style>
  <w:style w:type="paragraph" w:customStyle="1" w:styleId="tkNazvanie">
    <w:name w:val="_Название (tkNazvanie)"/>
    <w:basedOn w:val="a"/>
    <w:rsid w:val="009A587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9A587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Д.Закирова</dc:creator>
  <cp:lastModifiedBy>А.Бейшенбекова</cp:lastModifiedBy>
  <cp:revision>12</cp:revision>
  <cp:lastPrinted>2021-06-10T06:08:00Z</cp:lastPrinted>
  <dcterms:created xsi:type="dcterms:W3CDTF">2021-05-03T09:23:00Z</dcterms:created>
  <dcterms:modified xsi:type="dcterms:W3CDTF">2021-06-17T03:41:00Z</dcterms:modified>
</cp:coreProperties>
</file>